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DBBABEC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17D91">
        <w:rPr>
          <w:rFonts w:asciiTheme="majorHAnsi" w:eastAsia="Times New Roman" w:hAnsiTheme="majorHAnsi" w:cs="Times New Roman"/>
          <w:lang w:eastAsia="cs-CZ"/>
        </w:rPr>
        <w:t>5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359880A7" w:rsidR="005740C3" w:rsidRPr="004429CF" w:rsidRDefault="00DF35A8" w:rsidP="004429CF">
      <w:pPr>
        <w:pStyle w:val="Nzev"/>
        <w:jc w:val="left"/>
      </w:pPr>
      <w:r>
        <w:t>Dohoda o mlčenlivosti</w:t>
      </w:r>
      <w:r w:rsidR="009A0078" w:rsidRPr="00DC60C3">
        <w:t xml:space="preserve"> </w:t>
      </w:r>
    </w:p>
    <w:p w14:paraId="6D69D4AD" w14:textId="77777777" w:rsidR="007756D6" w:rsidRDefault="007756D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4E4CE8D9" w:rsidR="005740C3" w:rsidRDefault="005740C3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26676" w:rsidRPr="00326676">
        <w:rPr>
          <w:rFonts w:eastAsia="Times New Roman" w:cs="Times New Roman"/>
          <w:b/>
          <w:highlight w:val="yellow"/>
          <w:lang w:eastAsia="cs-CZ"/>
        </w:rPr>
        <w:t>Správ</w:t>
      </w:r>
      <w:r w:rsidR="00326676">
        <w:rPr>
          <w:rFonts w:eastAsia="Times New Roman" w:cs="Times New Roman"/>
          <w:b/>
          <w:highlight w:val="yellow"/>
          <w:lang w:eastAsia="cs-CZ"/>
        </w:rPr>
        <w:t>y</w:t>
      </w:r>
      <w:r w:rsidR="00326676" w:rsidRPr="00326676">
        <w:rPr>
          <w:rFonts w:eastAsia="Times New Roman" w:cs="Times New Roman"/>
          <w:b/>
          <w:highlight w:val="yellow"/>
          <w:lang w:eastAsia="cs-CZ"/>
        </w:rPr>
        <w:t xml:space="preserve"> železnic, státní organizace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………………</w:t>
      </w:r>
    </w:p>
    <w:p w14:paraId="60F1765C" w14:textId="3DA4395D" w:rsidR="00841D93" w:rsidRDefault="00841D93" w:rsidP="00841D9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2149C0">
        <w:rPr>
          <w:rFonts w:eastAsia="Times New Roman" w:cs="Times New Roman"/>
          <w:b/>
          <w:highlight w:val="green"/>
          <w:lang w:eastAsia="cs-CZ"/>
        </w:rPr>
        <w:t>žadatele</w:t>
      </w:r>
      <w:r w:rsidRPr="009B4030">
        <w:rPr>
          <w:rFonts w:eastAsia="Times New Roman" w:cs="Times New Roman"/>
          <w:b/>
          <w:highlight w:val="green"/>
          <w:lang w:eastAsia="cs-CZ"/>
        </w:rPr>
        <w:t xml:space="preserve"> ………………</w:t>
      </w:r>
    </w:p>
    <w:p w14:paraId="1CDD4F8B" w14:textId="77777777" w:rsidR="005740C3" w:rsidRPr="005740C3" w:rsidRDefault="005740C3" w:rsidP="00981113">
      <w:pPr>
        <w:spacing w:before="120" w:after="0"/>
        <w:rPr>
          <w:highlight w:val="yellow"/>
        </w:rPr>
      </w:pPr>
    </w:p>
    <w:p w14:paraId="55A13EF4" w14:textId="5E441E5F" w:rsidR="004E1498" w:rsidRPr="004E1498" w:rsidRDefault="00E94AFC" w:rsidP="00E94AFC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eastAsia="Times New Roman" w:cs="Times New Roman"/>
          <w:lang w:eastAsia="cs-CZ"/>
        </w:rPr>
      </w:pPr>
      <w:r w:rsidRPr="00E94AFC">
        <w:rPr>
          <w:rFonts w:eastAsia="Times New Roman" w:cs="Times New Roman"/>
          <w:lang w:eastAsia="cs-CZ"/>
        </w:rPr>
        <w:t>uzavřena v</w:t>
      </w:r>
      <w:r w:rsidR="004F01B0">
        <w:rPr>
          <w:rFonts w:eastAsia="Times New Roman" w:cs="Times New Roman"/>
          <w:lang w:eastAsia="cs-CZ"/>
        </w:rPr>
        <w:t> </w:t>
      </w:r>
      <w:r w:rsidRPr="00E94AFC">
        <w:rPr>
          <w:rFonts w:eastAsia="Times New Roman" w:cs="Times New Roman"/>
          <w:lang w:eastAsia="cs-CZ"/>
        </w:rPr>
        <w:t>souladu s ustanovením §</w:t>
      </w:r>
      <w:r w:rsidR="004F01B0">
        <w:rPr>
          <w:rFonts w:eastAsia="Times New Roman" w:cs="Times New Roman"/>
          <w:lang w:eastAsia="cs-CZ"/>
        </w:rPr>
        <w:t> </w:t>
      </w:r>
      <w:r w:rsidRPr="00E94AFC">
        <w:rPr>
          <w:rFonts w:eastAsia="Times New Roman" w:cs="Times New Roman"/>
          <w:lang w:eastAsia="cs-CZ"/>
        </w:rPr>
        <w:t>1746 odst.</w:t>
      </w:r>
      <w:r w:rsidR="004F01B0">
        <w:rPr>
          <w:rFonts w:eastAsia="Times New Roman" w:cs="Times New Roman"/>
          <w:lang w:eastAsia="cs-CZ"/>
        </w:rPr>
        <w:t> </w:t>
      </w:r>
      <w:r w:rsidRPr="00E94AFC">
        <w:rPr>
          <w:rFonts w:eastAsia="Times New Roman" w:cs="Times New Roman"/>
          <w:lang w:eastAsia="cs-CZ"/>
        </w:rPr>
        <w:t xml:space="preserve">2 </w:t>
      </w:r>
      <w:r w:rsidRPr="004F01B0">
        <w:rPr>
          <w:rFonts w:eastAsia="Times New Roman" w:cs="Times New Roman"/>
          <w:i/>
          <w:iCs/>
          <w:lang w:eastAsia="cs-CZ"/>
        </w:rPr>
        <w:t>zákona č.</w:t>
      </w:r>
      <w:r w:rsidR="004F01B0" w:rsidRPr="004F01B0">
        <w:rPr>
          <w:rFonts w:eastAsia="Times New Roman" w:cs="Times New Roman"/>
          <w:i/>
          <w:iCs/>
          <w:lang w:eastAsia="cs-CZ"/>
        </w:rPr>
        <w:t> </w:t>
      </w:r>
      <w:r w:rsidRPr="004F01B0">
        <w:rPr>
          <w:rFonts w:eastAsia="Times New Roman" w:cs="Times New Roman"/>
          <w:i/>
          <w:iCs/>
          <w:lang w:eastAsia="cs-CZ"/>
        </w:rPr>
        <w:t>89/2012 Sb., občanský zákoník</w:t>
      </w:r>
      <w:r w:rsidRPr="00E94AFC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75551F">
        <w:rPr>
          <w:rFonts w:eastAsia="Times New Roman" w:cs="Times New Roman"/>
          <w:b/>
          <w:bCs/>
          <w:lang w:eastAsia="cs-CZ"/>
        </w:rPr>
        <w:t>Občanský zákoník</w:t>
      </w:r>
      <w:r w:rsidRPr="004E1498">
        <w:rPr>
          <w:rFonts w:eastAsia="Times New Roman" w:cs="Times New Roman"/>
          <w:lang w:eastAsia="cs-CZ"/>
        </w:rPr>
        <w:t>“)</w:t>
      </w:r>
      <w:r w:rsidRPr="00E94AFC">
        <w:rPr>
          <w:rFonts w:eastAsia="Times New Roman" w:cs="Times New Roman"/>
          <w:lang w:eastAsia="cs-CZ"/>
        </w:rPr>
        <w:t>, a ustanovením §</w:t>
      </w:r>
      <w:r w:rsidR="004F01B0">
        <w:rPr>
          <w:rFonts w:eastAsia="Times New Roman" w:cs="Times New Roman"/>
          <w:lang w:eastAsia="cs-CZ"/>
        </w:rPr>
        <w:t> </w:t>
      </w:r>
      <w:r w:rsidRPr="00E94AFC">
        <w:rPr>
          <w:rFonts w:eastAsia="Times New Roman" w:cs="Times New Roman"/>
          <w:lang w:eastAsia="cs-CZ"/>
        </w:rPr>
        <w:t>36 odst.</w:t>
      </w:r>
      <w:r w:rsidR="004F01B0">
        <w:rPr>
          <w:rFonts w:eastAsia="Times New Roman" w:cs="Times New Roman"/>
          <w:lang w:eastAsia="cs-CZ"/>
        </w:rPr>
        <w:t> </w:t>
      </w:r>
      <w:r w:rsidRPr="00E94AFC">
        <w:rPr>
          <w:rFonts w:eastAsia="Times New Roman" w:cs="Times New Roman"/>
          <w:lang w:eastAsia="cs-CZ"/>
        </w:rPr>
        <w:t xml:space="preserve">8 </w:t>
      </w:r>
      <w:r w:rsidRPr="004F01B0">
        <w:rPr>
          <w:rFonts w:eastAsia="Times New Roman" w:cs="Times New Roman"/>
          <w:i/>
          <w:iCs/>
          <w:lang w:eastAsia="cs-CZ"/>
        </w:rPr>
        <w:t>zákona č.</w:t>
      </w:r>
      <w:r w:rsidR="004F01B0" w:rsidRPr="004F01B0">
        <w:rPr>
          <w:rFonts w:eastAsia="Times New Roman" w:cs="Times New Roman"/>
          <w:i/>
          <w:iCs/>
          <w:lang w:eastAsia="cs-CZ"/>
        </w:rPr>
        <w:t> </w:t>
      </w:r>
      <w:r w:rsidRPr="004F01B0">
        <w:rPr>
          <w:rFonts w:eastAsia="Times New Roman" w:cs="Times New Roman"/>
          <w:i/>
          <w:iCs/>
          <w:lang w:eastAsia="cs-CZ"/>
        </w:rPr>
        <w:t>134/2016 Sb., o zadávání veřejných zakázkách</w:t>
      </w:r>
      <w:r w:rsidRPr="00E94AFC">
        <w:rPr>
          <w:rFonts w:eastAsia="Times New Roman" w:cs="Times New Roman"/>
          <w:lang w:eastAsia="cs-CZ"/>
        </w:rPr>
        <w:t xml:space="preserve"> (dále jen „</w:t>
      </w:r>
      <w:r w:rsidRPr="00E94AFC">
        <w:rPr>
          <w:rFonts w:eastAsia="Times New Roman" w:cs="Times New Roman"/>
          <w:b/>
          <w:bCs/>
          <w:lang w:eastAsia="cs-CZ"/>
        </w:rPr>
        <w:t>ZZVZ</w:t>
      </w:r>
      <w:r w:rsidRPr="00E94AFC">
        <w:rPr>
          <w:rFonts w:eastAsia="Times New Roman" w:cs="Times New Roman"/>
          <w:lang w:eastAsia="cs-CZ"/>
        </w:rPr>
        <w:t>“)</w:t>
      </w:r>
      <w:r w:rsidR="00317D91">
        <w:rPr>
          <w:rFonts w:eastAsia="Times New Roman" w:cs="Times New Roman"/>
          <w:lang w:eastAsia="cs-CZ"/>
        </w:rPr>
        <w:t xml:space="preserve"> (dále jen „</w:t>
      </w:r>
      <w:r w:rsidR="00317D91" w:rsidRPr="00317D91">
        <w:rPr>
          <w:rFonts w:eastAsia="Times New Roman" w:cs="Times New Roman"/>
          <w:b/>
          <w:bCs/>
          <w:lang w:eastAsia="cs-CZ"/>
        </w:rPr>
        <w:t>Dohoda</w:t>
      </w:r>
      <w:r w:rsidR="00317D91">
        <w:rPr>
          <w:rFonts w:eastAsia="Times New Roman" w:cs="Times New Roman"/>
          <w:lang w:eastAsia="cs-CZ"/>
        </w:rPr>
        <w:t>“)</w:t>
      </w:r>
    </w:p>
    <w:p w14:paraId="25F906A9" w14:textId="77777777" w:rsidR="004E1498" w:rsidRPr="00981113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b/>
        </w:rPr>
      </w:pPr>
    </w:p>
    <w:p w14:paraId="5D814A13" w14:textId="2A02A7C1" w:rsidR="004E1498" w:rsidRPr="004E1498" w:rsidRDefault="00454924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Zadavatel</w:t>
      </w:r>
      <w:r w:rsidR="004E1498" w:rsidRPr="004E1498">
        <w:rPr>
          <w:rFonts w:eastAsia="Times New Roman" w:cs="Times New Roman"/>
          <w:b/>
          <w:lang w:eastAsia="cs-CZ"/>
        </w:rPr>
        <w:t>:</w:t>
      </w:r>
      <w:r w:rsidR="004E1498"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="004E1498"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FDBD327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326676">
        <w:rPr>
          <w:rFonts w:eastAsia="Times New Roman" w:cs="Times New Roman"/>
          <w:lang w:eastAsia="cs-CZ"/>
        </w:rPr>
        <w:t xml:space="preserve">sídlem </w:t>
      </w:r>
      <w:r w:rsidRPr="004E1498">
        <w:rPr>
          <w:rFonts w:eastAsia="Times New Roman" w:cs="Times New Roman"/>
          <w:lang w:eastAsia="cs-CZ"/>
        </w:rPr>
        <w:t>Praha 1 - Nové Město, Dlážděná 1003/7, PSČ 110 00</w:t>
      </w:r>
    </w:p>
    <w:p w14:paraId="482B2557" w14:textId="77777777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33552204" w:rsid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8A2E6F">
        <w:rPr>
          <w:rFonts w:eastAsia="Times New Roman" w:cs="Times New Roman"/>
          <w:lang w:eastAsia="cs-CZ"/>
        </w:rPr>
        <w:t xml:space="preserve">zastoupená </w:t>
      </w:r>
    </w:p>
    <w:p w14:paraId="0BAB2DFB" w14:textId="28939D29" w:rsidR="004E1498" w:rsidRDefault="004E1498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</w:p>
    <w:p w14:paraId="288BE545" w14:textId="79669A9A" w:rsidR="008E1E86" w:rsidRPr="009B4030" w:rsidRDefault="00E94AFC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Žadatel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E1E86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981113">
      <w:pPr>
        <w:overflowPunct w:val="0"/>
        <w:autoSpaceDE w:val="0"/>
        <w:autoSpaceDN w:val="0"/>
        <w:adjustRightInd w:val="0"/>
        <w:spacing w:before="120" w:after="0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981113">
      <w:pPr>
        <w:overflowPunct w:val="0"/>
        <w:autoSpaceDE w:val="0"/>
        <w:autoSpaceDN w:val="0"/>
        <w:adjustRightInd w:val="0"/>
        <w:spacing w:before="120" w:after="0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424338BF" w:rsidR="008E1E86" w:rsidRDefault="008E1E86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AD0F2D4" w14:textId="77777777" w:rsidR="00967A53" w:rsidRDefault="00967A53" w:rsidP="00981113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i/>
          <w:lang w:eastAsia="cs-CZ"/>
        </w:rPr>
      </w:pPr>
    </w:p>
    <w:p w14:paraId="50326DD2" w14:textId="16230020" w:rsidR="004E1498" w:rsidRPr="006C7697" w:rsidRDefault="00967A53" w:rsidP="00E2530D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Times New Roman" w:cs="Times New Roman"/>
          <w:i/>
          <w:lang w:eastAsia="cs-CZ"/>
        </w:rPr>
      </w:pPr>
      <w:r w:rsidRPr="00967A53">
        <w:rPr>
          <w:rFonts w:eastAsia="Times New Roman" w:cs="Times New Roman"/>
          <w:iCs/>
          <w:lang w:eastAsia="cs-CZ"/>
        </w:rPr>
        <w:t>(</w:t>
      </w:r>
      <w:r w:rsidR="00454924">
        <w:rPr>
          <w:rFonts w:eastAsia="Times New Roman" w:cs="Times New Roman"/>
          <w:iCs/>
          <w:lang w:eastAsia="cs-CZ"/>
        </w:rPr>
        <w:t>zadavat</w:t>
      </w:r>
      <w:r w:rsidR="0070370A">
        <w:rPr>
          <w:rFonts w:eastAsia="Times New Roman" w:cs="Times New Roman"/>
          <w:iCs/>
          <w:lang w:eastAsia="cs-CZ"/>
        </w:rPr>
        <w:t>el</w:t>
      </w:r>
      <w:r w:rsidR="0070370A" w:rsidRPr="00967A53">
        <w:rPr>
          <w:rFonts w:eastAsia="Times New Roman" w:cs="Times New Roman"/>
          <w:iCs/>
          <w:lang w:eastAsia="cs-CZ"/>
        </w:rPr>
        <w:t xml:space="preserve"> </w:t>
      </w:r>
      <w:r w:rsidRPr="00967A53">
        <w:rPr>
          <w:rFonts w:eastAsia="Times New Roman" w:cs="Times New Roman"/>
          <w:iCs/>
          <w:lang w:eastAsia="cs-CZ"/>
        </w:rPr>
        <w:t xml:space="preserve">a </w:t>
      </w:r>
      <w:r w:rsidR="00315ADF">
        <w:rPr>
          <w:rFonts w:eastAsia="Times New Roman" w:cs="Times New Roman"/>
          <w:iCs/>
          <w:lang w:eastAsia="cs-CZ"/>
        </w:rPr>
        <w:t>ž</w:t>
      </w:r>
      <w:r w:rsidRPr="00967A53">
        <w:rPr>
          <w:rFonts w:eastAsia="Times New Roman" w:cs="Times New Roman"/>
          <w:iCs/>
          <w:lang w:eastAsia="cs-CZ"/>
        </w:rPr>
        <w:t>adatel dále společně jako „</w:t>
      </w:r>
      <w:r w:rsidR="00315ADF">
        <w:rPr>
          <w:rFonts w:eastAsia="Times New Roman" w:cs="Times New Roman"/>
          <w:b/>
          <w:bCs/>
          <w:iCs/>
          <w:lang w:eastAsia="cs-CZ"/>
        </w:rPr>
        <w:t>s</w:t>
      </w:r>
      <w:r w:rsidRPr="00967A53">
        <w:rPr>
          <w:rFonts w:eastAsia="Times New Roman" w:cs="Times New Roman"/>
          <w:b/>
          <w:bCs/>
          <w:iCs/>
          <w:lang w:eastAsia="cs-CZ"/>
        </w:rPr>
        <w:t>mluvní strany</w:t>
      </w:r>
      <w:r w:rsidRPr="00967A53">
        <w:rPr>
          <w:rFonts w:eastAsia="Times New Roman" w:cs="Times New Roman"/>
          <w:iCs/>
          <w:lang w:eastAsia="cs-CZ"/>
        </w:rPr>
        <w:t>“)</w:t>
      </w:r>
      <w:r w:rsidR="006B747E">
        <w:rPr>
          <w:rFonts w:eastAsia="Times New Roman" w:cs="Times New Roman"/>
          <w:i/>
          <w:lang w:eastAsia="cs-CZ"/>
        </w:rPr>
        <w:br w:type="page"/>
      </w:r>
    </w:p>
    <w:p w14:paraId="11E6F3FE" w14:textId="195C432E" w:rsidR="004E1498" w:rsidRPr="004E1498" w:rsidRDefault="004E1498" w:rsidP="00981113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</w:t>
      </w:r>
      <w:r w:rsidR="00781975">
        <w:rPr>
          <w:rFonts w:eastAsia="Times New Roman" w:cs="Times New Roman"/>
          <w:lang w:eastAsia="cs-CZ"/>
        </w:rPr>
        <w:t>Dohoda</w:t>
      </w:r>
      <w:r w:rsidRPr="004E1498">
        <w:rPr>
          <w:rFonts w:eastAsia="Times New Roman" w:cs="Times New Roman"/>
          <w:lang w:eastAsia="cs-CZ"/>
        </w:rPr>
        <w:t xml:space="preserve"> je uzavřena </w:t>
      </w:r>
      <w:r w:rsidR="00E94AFC">
        <w:rPr>
          <w:rFonts w:eastAsia="Times New Roman" w:cs="Times New Roman"/>
          <w:lang w:eastAsia="cs-CZ"/>
        </w:rPr>
        <w:t>v</w:t>
      </w:r>
      <w:r w:rsidR="004F01B0">
        <w:rPr>
          <w:rFonts w:eastAsia="Times New Roman" w:cs="Times New Roman"/>
          <w:lang w:eastAsia="cs-CZ"/>
        </w:rPr>
        <w:t> </w:t>
      </w:r>
      <w:r w:rsidR="00E94AFC">
        <w:rPr>
          <w:rFonts w:eastAsia="Times New Roman" w:cs="Times New Roman"/>
          <w:lang w:eastAsia="cs-CZ"/>
        </w:rPr>
        <w:t>rámci</w:t>
      </w:r>
      <w:r w:rsidRPr="004E1498">
        <w:rPr>
          <w:rFonts w:eastAsia="Times New Roman" w:cs="Times New Roman"/>
          <w:lang w:eastAsia="cs-CZ"/>
        </w:rPr>
        <w:t xml:space="preserve"> zadávacího řízení veřejné zakázky s</w:t>
      </w:r>
      <w:r w:rsidR="007756D6">
        <w:rPr>
          <w:rFonts w:eastAsia="Times New Roman" w:cs="Times New Roman"/>
          <w:lang w:eastAsia="cs-CZ"/>
        </w:rPr>
        <w:t> </w:t>
      </w:r>
      <w:r w:rsidRPr="004E1498">
        <w:rPr>
          <w:rFonts w:eastAsia="Times New Roman" w:cs="Times New Roman"/>
          <w:lang w:eastAsia="cs-CZ"/>
        </w:rPr>
        <w:t xml:space="preserve">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1D31F3" w:rsidRPr="00C55514">
        <w:rPr>
          <w:rFonts w:ascii="Verdana" w:hAnsi="Verdana"/>
          <w:b/>
          <w:color w:val="000000"/>
          <w:sz w:val="20"/>
          <w:szCs w:val="20"/>
        </w:rPr>
        <w:t>Revitalizace a elektrizace trati Nýřany – Heřmanova Huť</w:t>
      </w:r>
      <w:r w:rsidR="001D31F3">
        <w:rPr>
          <w:rFonts w:ascii="Verdana" w:hAnsi="Verdana"/>
          <w:color w:val="000000"/>
          <w:sz w:val="20"/>
          <w:szCs w:val="20"/>
        </w:rPr>
        <w:t>“</w:t>
      </w:r>
      <w:r w:rsidR="001D31F3" w:rsidRPr="007D44B9">
        <w:rPr>
          <w:rFonts w:eastAsia="Times New Roman" w:cs="Times New Roman"/>
          <w:lang w:eastAsia="cs-CZ"/>
        </w:rPr>
        <w:t xml:space="preserve"> </w:t>
      </w:r>
      <w:r w:rsidRPr="007D44B9">
        <w:rPr>
          <w:rFonts w:eastAsia="Times New Roman" w:cs="Times New Roman"/>
          <w:lang w:eastAsia="cs-CZ"/>
        </w:rPr>
        <w:t>(dále jen „</w:t>
      </w:r>
      <w:r w:rsidRPr="007756D6">
        <w:rPr>
          <w:rFonts w:eastAsia="Times New Roman" w:cs="Times New Roman"/>
          <w:b/>
          <w:bCs/>
          <w:lang w:eastAsia="cs-CZ"/>
        </w:rPr>
        <w:t>veřejná zakázka</w:t>
      </w:r>
      <w:r w:rsidR="006566F7" w:rsidRPr="007D44B9">
        <w:rPr>
          <w:rFonts w:eastAsia="Times New Roman" w:cs="Times New Roman"/>
          <w:lang w:eastAsia="cs-CZ"/>
        </w:rPr>
        <w:t xml:space="preserve">“). Jednotlivá ustanovení </w:t>
      </w:r>
      <w:r w:rsidR="00781975">
        <w:rPr>
          <w:rFonts w:eastAsia="Times New Roman" w:cs="Times New Roman"/>
          <w:lang w:eastAsia="cs-CZ"/>
        </w:rPr>
        <w:t>Dohody</w:t>
      </w:r>
      <w:r w:rsidRPr="007D44B9">
        <w:rPr>
          <w:rFonts w:eastAsia="Times New Roman" w:cs="Times New Roman"/>
          <w:lang w:eastAsia="cs-CZ"/>
        </w:rPr>
        <w:t xml:space="preserve"> tak budou vykládána</w:t>
      </w:r>
      <w:r w:rsidRPr="004E1498">
        <w:rPr>
          <w:rFonts w:eastAsia="Times New Roman" w:cs="Times New Roman"/>
          <w:lang w:eastAsia="cs-CZ"/>
        </w:rPr>
        <w:t xml:space="preserve"> v</w:t>
      </w:r>
      <w:r w:rsidR="007756D6">
        <w:rPr>
          <w:rFonts w:eastAsia="Times New Roman" w:cs="Times New Roman"/>
          <w:lang w:eastAsia="cs-CZ"/>
        </w:rPr>
        <w:t> </w:t>
      </w:r>
      <w:r w:rsidRPr="004E1498">
        <w:rPr>
          <w:rFonts w:eastAsia="Times New Roman" w:cs="Times New Roman"/>
          <w:lang w:eastAsia="cs-CZ"/>
        </w:rPr>
        <w:t>souladu se zadávacími podmínkami veřejné zakázky.</w:t>
      </w:r>
    </w:p>
    <w:p w14:paraId="642B196F" w14:textId="35BFDB48" w:rsidR="004E1498" w:rsidRPr="00950C1F" w:rsidRDefault="009B2189" w:rsidP="004F01B0">
      <w:pPr>
        <w:pStyle w:val="Nadpis1"/>
        <w:ind w:left="567" w:hanging="567"/>
      </w:pPr>
      <w:r>
        <w:t>Preambule</w:t>
      </w:r>
    </w:p>
    <w:p w14:paraId="40E6206A" w14:textId="4DBDA564" w:rsidR="00635683" w:rsidRPr="00E94AFC" w:rsidRDefault="00635683" w:rsidP="00635683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E94AFC">
        <w:rPr>
          <w:bCs/>
        </w:rPr>
        <w:t xml:space="preserve">Žadatel má zájem získat kompletní zadávací dokumentaci, včetně </w:t>
      </w:r>
      <w:r>
        <w:rPr>
          <w:bCs/>
        </w:rPr>
        <w:t xml:space="preserve">příloh </w:t>
      </w:r>
      <w:r w:rsidRPr="00E94AFC">
        <w:rPr>
          <w:bCs/>
        </w:rPr>
        <w:t>(dále jen „</w:t>
      </w:r>
      <w:r w:rsidRPr="00B06646">
        <w:rPr>
          <w:b/>
        </w:rPr>
        <w:t>zadávací dokumentace</w:t>
      </w:r>
      <w:r w:rsidRPr="00E94AFC">
        <w:rPr>
          <w:bCs/>
        </w:rPr>
        <w:t>“) za účelem podání nabídky a účasti v</w:t>
      </w:r>
      <w:r w:rsidR="004F01B0">
        <w:rPr>
          <w:bCs/>
        </w:rPr>
        <w:t> </w:t>
      </w:r>
      <w:r w:rsidR="00454924">
        <w:rPr>
          <w:bCs/>
        </w:rPr>
        <w:t>předmětném</w:t>
      </w:r>
      <w:r w:rsidRPr="00E94AFC">
        <w:rPr>
          <w:bCs/>
        </w:rPr>
        <w:t xml:space="preserve"> zadávacím řízení.</w:t>
      </w:r>
    </w:p>
    <w:p w14:paraId="577664E3" w14:textId="1D935196" w:rsidR="00635683" w:rsidRDefault="00635683" w:rsidP="00635683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B06646">
        <w:rPr>
          <w:bCs/>
        </w:rPr>
        <w:t>Žadatel bere na vědomí, že zadávací dokumentace obsahuje v</w:t>
      </w:r>
      <w:r w:rsidR="004F01B0">
        <w:rPr>
          <w:bCs/>
        </w:rPr>
        <w:t> </w:t>
      </w:r>
      <w:r w:rsidRPr="00B06646">
        <w:rPr>
          <w:bCs/>
        </w:rPr>
        <w:t xml:space="preserve">dílčí </w:t>
      </w:r>
      <w:r w:rsidR="00247309">
        <w:rPr>
          <w:bCs/>
        </w:rPr>
        <w:t>z</w:t>
      </w:r>
      <w:r w:rsidR="00454924">
        <w:rPr>
          <w:bCs/>
        </w:rPr>
        <w:t>adava</w:t>
      </w:r>
      <w:r w:rsidR="00C724F5">
        <w:rPr>
          <w:bCs/>
        </w:rPr>
        <w:t>teli</w:t>
      </w:r>
      <w:r w:rsidR="00C724F5" w:rsidRPr="00B06646">
        <w:rPr>
          <w:bCs/>
        </w:rPr>
        <w:t xml:space="preserve"> </w:t>
      </w:r>
      <w:r w:rsidRPr="00B06646">
        <w:rPr>
          <w:bCs/>
        </w:rPr>
        <w:t>vymezené části</w:t>
      </w:r>
      <w:r>
        <w:rPr>
          <w:bCs/>
        </w:rPr>
        <w:t xml:space="preserve"> </w:t>
      </w:r>
      <w:r w:rsidRPr="00B06646">
        <w:rPr>
          <w:bCs/>
        </w:rPr>
        <w:t>důvěrné informace a souhlasí s</w:t>
      </w:r>
      <w:r w:rsidR="004F01B0">
        <w:rPr>
          <w:bCs/>
        </w:rPr>
        <w:t> </w:t>
      </w:r>
      <w:r w:rsidRPr="00B06646">
        <w:rPr>
          <w:bCs/>
        </w:rPr>
        <w:t>tím, že s</w:t>
      </w:r>
      <w:r>
        <w:rPr>
          <w:bCs/>
        </w:rPr>
        <w:t> </w:t>
      </w:r>
      <w:r w:rsidRPr="00B06646">
        <w:rPr>
          <w:bCs/>
        </w:rPr>
        <w:t>takovými</w:t>
      </w:r>
      <w:r>
        <w:rPr>
          <w:bCs/>
        </w:rPr>
        <w:t xml:space="preserve"> </w:t>
      </w:r>
      <w:r w:rsidRPr="00B06646">
        <w:rPr>
          <w:bCs/>
        </w:rPr>
        <w:t>informacemi bude nakládat jako s</w:t>
      </w:r>
      <w:r w:rsidR="004F01B0">
        <w:rPr>
          <w:bCs/>
        </w:rPr>
        <w:t> </w:t>
      </w:r>
      <w:r w:rsidRPr="00B06646">
        <w:rPr>
          <w:bCs/>
        </w:rPr>
        <w:t>důvěrnými v</w:t>
      </w:r>
      <w:r w:rsidR="004F01B0">
        <w:rPr>
          <w:bCs/>
        </w:rPr>
        <w:t> </w:t>
      </w:r>
      <w:r w:rsidRPr="00B06646">
        <w:rPr>
          <w:bCs/>
        </w:rPr>
        <w:t>souladu s</w:t>
      </w:r>
      <w:r w:rsidR="004F01B0">
        <w:rPr>
          <w:bCs/>
        </w:rPr>
        <w:t> </w:t>
      </w:r>
      <w:r w:rsidRPr="00B06646">
        <w:rPr>
          <w:bCs/>
        </w:rPr>
        <w:t>touto Dohodou.</w:t>
      </w:r>
    </w:p>
    <w:p w14:paraId="7DC2A4C1" w14:textId="7FAA1C66" w:rsidR="00247309" w:rsidRPr="00247309" w:rsidRDefault="00247309" w:rsidP="00247309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247309">
        <w:rPr>
          <w:bCs/>
        </w:rPr>
        <w:t xml:space="preserve">Příslušné podklady, které budou </w:t>
      </w:r>
      <w:r>
        <w:rPr>
          <w:bCs/>
        </w:rPr>
        <w:t>zadava</w:t>
      </w:r>
      <w:r w:rsidRPr="00247309">
        <w:rPr>
          <w:bCs/>
        </w:rPr>
        <w:t xml:space="preserve">telem předány či jinak poskytnuty </w:t>
      </w:r>
      <w:r>
        <w:rPr>
          <w:bCs/>
        </w:rPr>
        <w:t>žadateli</w:t>
      </w:r>
      <w:r w:rsidRPr="00247309">
        <w:rPr>
          <w:bCs/>
        </w:rPr>
        <w:t xml:space="preserve">, představují informace obchodní povahy, mají či mohou mít samostatně i ve svém souhrnu povahu informací představující obchodní tajemství a jsou ze strany </w:t>
      </w:r>
      <w:r>
        <w:rPr>
          <w:bCs/>
        </w:rPr>
        <w:t>zada</w:t>
      </w:r>
      <w:r w:rsidRPr="00247309">
        <w:rPr>
          <w:bCs/>
        </w:rPr>
        <w:t>vatele posuzovány jako zvláště citlivé a důvěrné</w:t>
      </w:r>
      <w:r w:rsidR="00AB1110">
        <w:rPr>
          <w:bCs/>
        </w:rPr>
        <w:t xml:space="preserve"> </w:t>
      </w:r>
      <w:r w:rsidR="00C55514">
        <w:rPr>
          <w:bCs/>
        </w:rPr>
        <w:t>(dále také jako</w:t>
      </w:r>
      <w:r w:rsidRPr="00247309">
        <w:rPr>
          <w:bCs/>
        </w:rPr>
        <w:t xml:space="preserve"> „</w:t>
      </w:r>
      <w:r w:rsidRPr="00C55514">
        <w:rPr>
          <w:b/>
          <w:bCs/>
        </w:rPr>
        <w:t>Obchodní tajemství</w:t>
      </w:r>
      <w:r w:rsidRPr="00247309">
        <w:rPr>
          <w:bCs/>
        </w:rPr>
        <w:t>“)</w:t>
      </w:r>
      <w:r w:rsidR="00AB1110">
        <w:rPr>
          <w:bCs/>
        </w:rPr>
        <w:t>.</w:t>
      </w:r>
    </w:p>
    <w:p w14:paraId="2F376FE8" w14:textId="11108061" w:rsidR="00247309" w:rsidRPr="00247309" w:rsidRDefault="00247309" w:rsidP="00247309">
      <w:pPr>
        <w:pStyle w:val="Nadpis2"/>
        <w:spacing w:before="120" w:line="264" w:lineRule="auto"/>
        <w:ind w:left="567"/>
        <w:contextualSpacing w:val="0"/>
        <w:rPr>
          <w:bCs/>
        </w:rPr>
      </w:pPr>
      <w:r>
        <w:rPr>
          <w:bCs/>
        </w:rPr>
        <w:t>Zada</w:t>
      </w:r>
      <w:r w:rsidRPr="00247309">
        <w:rPr>
          <w:bCs/>
        </w:rPr>
        <w:t xml:space="preserve">vatel požaduje, aby </w:t>
      </w:r>
      <w:r>
        <w:rPr>
          <w:bCs/>
        </w:rPr>
        <w:t>žadatel</w:t>
      </w:r>
      <w:r w:rsidRPr="00247309">
        <w:rPr>
          <w:bCs/>
        </w:rPr>
        <w:t xml:space="preserve"> přijal přiměřená opatření k ochraně Obchodního tajemství a všech údajů a informací důvěrné povahy, jež </w:t>
      </w:r>
      <w:r>
        <w:rPr>
          <w:bCs/>
        </w:rPr>
        <w:t>budou žadateli v rámci zadávacího řízení veřejné zakázky poskytnuty</w:t>
      </w:r>
      <w:r w:rsidRPr="00247309">
        <w:rPr>
          <w:bCs/>
        </w:rPr>
        <w:t>;</w:t>
      </w:r>
    </w:p>
    <w:p w14:paraId="7CCCF16B" w14:textId="2894249A" w:rsidR="00247309" w:rsidRPr="00247309" w:rsidRDefault="00247309" w:rsidP="00247309">
      <w:pPr>
        <w:pStyle w:val="Nadpis2"/>
        <w:spacing w:before="120" w:after="240" w:line="264" w:lineRule="auto"/>
        <w:ind w:left="567"/>
        <w:contextualSpacing w:val="0"/>
        <w:rPr>
          <w:bCs/>
        </w:rPr>
      </w:pPr>
      <w:r>
        <w:rPr>
          <w:bCs/>
        </w:rPr>
        <w:t>Zadavatel</w:t>
      </w:r>
      <w:r w:rsidRPr="00247309">
        <w:rPr>
          <w:bCs/>
        </w:rPr>
        <w:t xml:space="preserve"> má zájem, aby </w:t>
      </w:r>
      <w:r>
        <w:rPr>
          <w:bCs/>
        </w:rPr>
        <w:t>žadatel</w:t>
      </w:r>
      <w:r w:rsidRPr="00247309">
        <w:rPr>
          <w:bCs/>
        </w:rPr>
        <w:t xml:space="preserve"> zachoval ohledně těchto informací zvláště citlivé a důvěrné povahy a jejich obsahu po jejich získání mlčenlivost a důvěrnost ve smyslu § 1730 odst. 2 </w:t>
      </w:r>
      <w:r w:rsidR="002026F0">
        <w:rPr>
          <w:bCs/>
        </w:rPr>
        <w:t>Občanského zákoníku</w:t>
      </w:r>
      <w:r w:rsidRPr="00247309">
        <w:rPr>
          <w:bCs/>
        </w:rPr>
        <w:t>;</w:t>
      </w:r>
    </w:p>
    <w:p w14:paraId="5D56836A" w14:textId="0DB8490A" w:rsidR="00247309" w:rsidRPr="00247309" w:rsidRDefault="00247309" w:rsidP="00247309">
      <w:pPr>
        <w:pStyle w:val="AKFZFnormln"/>
        <w:spacing w:after="120" w:line="240" w:lineRule="auto"/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</w:pPr>
      <w:r w:rsidRPr="00247309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 xml:space="preserve">Smluvní strany, vědomy si svých závazků v této </w:t>
      </w:r>
      <w:r w:rsidR="002026F0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>Dohodě</w:t>
      </w:r>
      <w:r w:rsidRPr="00247309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 xml:space="preserve"> obsažených a s úmyslem být touto </w:t>
      </w:r>
      <w:r w:rsidR="002026F0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>Dohodou</w:t>
      </w:r>
      <w:r w:rsidRPr="00247309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 xml:space="preserve"> vázány, dohodly se na následujícím znění této </w:t>
      </w:r>
      <w:r w:rsidR="002026F0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>Dohody</w:t>
      </w:r>
      <w:r w:rsidRPr="00247309">
        <w:rPr>
          <w:rFonts w:asciiTheme="minorHAnsi" w:eastAsia="Times New Roman" w:hAnsiTheme="minorHAnsi" w:cs="Times New Roman"/>
          <w:bCs/>
          <w:sz w:val="18"/>
          <w:szCs w:val="18"/>
          <w:lang w:eastAsia="cs-CZ"/>
        </w:rPr>
        <w:t>:</w:t>
      </w:r>
    </w:p>
    <w:p w14:paraId="745EDBCB" w14:textId="2BA17291" w:rsidR="002026F0" w:rsidRDefault="002026F0" w:rsidP="00635683">
      <w:pPr>
        <w:pStyle w:val="Nadpis1"/>
        <w:ind w:left="567" w:hanging="567"/>
      </w:pPr>
      <w:r>
        <w:t>Předmět Dohody</w:t>
      </w:r>
    </w:p>
    <w:p w14:paraId="16556E3C" w14:textId="195ACAFF" w:rsidR="002026F0" w:rsidRPr="002026F0" w:rsidRDefault="002026F0" w:rsidP="002026F0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2026F0">
        <w:rPr>
          <w:bCs/>
        </w:rPr>
        <w:t xml:space="preserve">Předmětem této </w:t>
      </w:r>
      <w:r>
        <w:rPr>
          <w:bCs/>
        </w:rPr>
        <w:t>Dohody</w:t>
      </w:r>
      <w:r w:rsidRPr="002026F0">
        <w:rPr>
          <w:bCs/>
        </w:rPr>
        <w:t xml:space="preserve"> je závazek </w:t>
      </w:r>
      <w:r>
        <w:rPr>
          <w:bCs/>
        </w:rPr>
        <w:t>žadatele</w:t>
      </w:r>
      <w:r w:rsidRPr="002026F0">
        <w:rPr>
          <w:bCs/>
        </w:rPr>
        <w:t xml:space="preserve"> zachovat mlčenlivost ohledně všech informací zvláště citlivé</w:t>
      </w:r>
      <w:r>
        <w:rPr>
          <w:bCs/>
        </w:rPr>
        <w:t xml:space="preserve"> </w:t>
      </w:r>
      <w:r w:rsidRPr="002026F0">
        <w:rPr>
          <w:bCs/>
        </w:rPr>
        <w:t>a důvěrné povahy a j</w:t>
      </w:r>
      <w:r>
        <w:rPr>
          <w:bCs/>
        </w:rPr>
        <w:t>ejich obsahu stanovených v čl. 3</w:t>
      </w:r>
      <w:r w:rsidRPr="002026F0">
        <w:rPr>
          <w:bCs/>
        </w:rPr>
        <w:t xml:space="preserve"> této </w:t>
      </w:r>
      <w:r>
        <w:rPr>
          <w:bCs/>
        </w:rPr>
        <w:t>Dohody</w:t>
      </w:r>
      <w:r w:rsidRPr="002026F0">
        <w:rPr>
          <w:bCs/>
        </w:rPr>
        <w:t xml:space="preserve"> (dále též „</w:t>
      </w:r>
      <w:r w:rsidRPr="002026F0">
        <w:rPr>
          <w:b/>
          <w:bCs/>
        </w:rPr>
        <w:t>Důvěrné informace</w:t>
      </w:r>
      <w:r w:rsidRPr="002026F0">
        <w:rPr>
          <w:bCs/>
        </w:rPr>
        <w:t xml:space="preserve">“) a dodržet další povinnosti k zajištění utajení </w:t>
      </w:r>
      <w:r>
        <w:rPr>
          <w:bCs/>
        </w:rPr>
        <w:t>Důvěrných</w:t>
      </w:r>
      <w:r w:rsidRPr="002026F0">
        <w:rPr>
          <w:bCs/>
        </w:rPr>
        <w:t xml:space="preserve"> informací stanovených v této </w:t>
      </w:r>
      <w:r>
        <w:rPr>
          <w:bCs/>
        </w:rPr>
        <w:t>Dohodě</w:t>
      </w:r>
      <w:r w:rsidRPr="002026F0">
        <w:rPr>
          <w:bCs/>
        </w:rPr>
        <w:t>.</w:t>
      </w:r>
    </w:p>
    <w:p w14:paraId="6E41104F" w14:textId="60069E63" w:rsidR="00635683" w:rsidRPr="00635683" w:rsidRDefault="00635683" w:rsidP="00635683">
      <w:pPr>
        <w:pStyle w:val="Nadpis1"/>
        <w:ind w:left="567" w:hanging="567"/>
      </w:pPr>
      <w:r w:rsidRPr="00635683">
        <w:t xml:space="preserve">Ochrana </w:t>
      </w:r>
      <w:r w:rsidR="002026F0">
        <w:t xml:space="preserve">Důvěrných </w:t>
      </w:r>
      <w:r w:rsidRPr="00635683">
        <w:t>informací</w:t>
      </w:r>
    </w:p>
    <w:p w14:paraId="3620E536" w14:textId="4D7EA38B" w:rsidR="00970088" w:rsidRPr="00970088" w:rsidRDefault="00970088" w:rsidP="002E2A8C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970088">
        <w:rPr>
          <w:bCs/>
        </w:rPr>
        <w:t xml:space="preserve">Za účelem zpracování nabídky </w:t>
      </w:r>
      <w:r w:rsidR="00454924">
        <w:rPr>
          <w:bCs/>
        </w:rPr>
        <w:t>zadavatel</w:t>
      </w:r>
      <w:r w:rsidR="0070370A" w:rsidRPr="00970088">
        <w:rPr>
          <w:bCs/>
        </w:rPr>
        <w:t xml:space="preserve"> </w:t>
      </w:r>
      <w:r w:rsidR="00967A53">
        <w:rPr>
          <w:bCs/>
        </w:rPr>
        <w:t xml:space="preserve">na žádost </w:t>
      </w:r>
      <w:r w:rsidR="00841D93">
        <w:rPr>
          <w:bCs/>
        </w:rPr>
        <w:t>ž</w:t>
      </w:r>
      <w:r w:rsidR="00967A53">
        <w:rPr>
          <w:bCs/>
        </w:rPr>
        <w:t xml:space="preserve">adatele </w:t>
      </w:r>
      <w:r w:rsidR="00317D91">
        <w:rPr>
          <w:bCs/>
        </w:rPr>
        <w:t xml:space="preserve">a proti podpisu této Dohody </w:t>
      </w:r>
      <w:r w:rsidR="00C724F5" w:rsidRPr="00970088">
        <w:rPr>
          <w:bCs/>
        </w:rPr>
        <w:t>poskytn</w:t>
      </w:r>
      <w:r w:rsidR="002402C1">
        <w:rPr>
          <w:bCs/>
        </w:rPr>
        <w:t>e</w:t>
      </w:r>
      <w:r w:rsidRPr="00970088">
        <w:rPr>
          <w:bCs/>
        </w:rPr>
        <w:t>:</w:t>
      </w:r>
    </w:p>
    <w:p w14:paraId="2D684216" w14:textId="5AB4177A" w:rsidR="00970088" w:rsidRPr="002402C1" w:rsidRDefault="002026F0" w:rsidP="003A099C">
      <w:pPr>
        <w:pStyle w:val="Nadpis2"/>
        <w:numPr>
          <w:ilvl w:val="0"/>
          <w:numId w:val="0"/>
        </w:numPr>
        <w:spacing w:before="120" w:line="264" w:lineRule="auto"/>
        <w:ind w:left="567"/>
        <w:contextualSpacing w:val="0"/>
      </w:pPr>
      <w:r w:rsidRPr="002402C1">
        <w:rPr>
          <w:bCs/>
        </w:rPr>
        <w:t>Předmětnou d</w:t>
      </w:r>
      <w:r w:rsidR="00454924" w:rsidRPr="002402C1">
        <w:rPr>
          <w:bCs/>
        </w:rPr>
        <w:t xml:space="preserve">okumentaci související s veřejnou zakázkou </w:t>
      </w:r>
      <w:r w:rsidR="00970088" w:rsidRPr="002402C1">
        <w:t>(dále jen jako „</w:t>
      </w:r>
      <w:r w:rsidR="00454924" w:rsidRPr="002402C1">
        <w:rPr>
          <w:b/>
          <w:i/>
        </w:rPr>
        <w:t>dokumentace</w:t>
      </w:r>
      <w:r w:rsidR="00970088" w:rsidRPr="002402C1">
        <w:t xml:space="preserve">“). </w:t>
      </w:r>
    </w:p>
    <w:p w14:paraId="01E13D2A" w14:textId="6CE2E631" w:rsidR="00454924" w:rsidRPr="002402C1" w:rsidRDefault="009B2189" w:rsidP="00454924">
      <w:pPr>
        <w:pStyle w:val="Nadpis2"/>
        <w:spacing w:before="120" w:after="240" w:line="264" w:lineRule="auto"/>
        <w:ind w:left="567"/>
        <w:contextualSpacing w:val="0"/>
        <w:rPr>
          <w:bCs/>
        </w:rPr>
      </w:pPr>
      <w:r w:rsidRPr="002402C1">
        <w:rPr>
          <w:bCs/>
        </w:rPr>
        <w:t xml:space="preserve">Smluvní strany se dohodly, že </w:t>
      </w:r>
      <w:r w:rsidR="002026F0" w:rsidRPr="002402C1">
        <w:rPr>
          <w:bCs/>
        </w:rPr>
        <w:t>za D</w:t>
      </w:r>
      <w:r w:rsidR="00315ADF" w:rsidRPr="002402C1">
        <w:rPr>
          <w:bCs/>
        </w:rPr>
        <w:t xml:space="preserve">ůvěrné </w:t>
      </w:r>
      <w:r w:rsidR="001845EA" w:rsidRPr="002402C1">
        <w:rPr>
          <w:bCs/>
        </w:rPr>
        <w:t xml:space="preserve">informace </w:t>
      </w:r>
      <w:r w:rsidR="00315ADF" w:rsidRPr="002402C1">
        <w:rPr>
          <w:bCs/>
        </w:rPr>
        <w:t xml:space="preserve">jsou považovány </w:t>
      </w:r>
      <w:r w:rsidR="002026F0" w:rsidRPr="002402C1">
        <w:rPr>
          <w:bCs/>
        </w:rPr>
        <w:t>především:</w:t>
      </w:r>
    </w:p>
    <w:p w14:paraId="30F5227D" w14:textId="7017B6BC" w:rsidR="00454924" w:rsidRPr="002402C1" w:rsidRDefault="00454924" w:rsidP="00454924">
      <w:pPr>
        <w:pStyle w:val="Odstavecseseznamem"/>
        <w:numPr>
          <w:ilvl w:val="0"/>
          <w:numId w:val="7"/>
        </w:numPr>
        <w:spacing w:after="0"/>
        <w:rPr>
          <w:rFonts w:ascii="Verdana" w:hAnsi="Verdana"/>
          <w:color w:val="000000"/>
        </w:rPr>
      </w:pPr>
      <w:r w:rsidRPr="002402C1">
        <w:rPr>
          <w:rFonts w:ascii="Verdana" w:hAnsi="Verdana"/>
          <w:b/>
          <w:bCs/>
          <w:color w:val="000000"/>
        </w:rPr>
        <w:t>Samostatná příloha E Směrnice SM07</w:t>
      </w:r>
      <w:r w:rsidRPr="002402C1">
        <w:rPr>
          <w:rFonts w:ascii="Verdana" w:hAnsi="Verdana"/>
          <w:color w:val="000000"/>
        </w:rPr>
        <w:t xml:space="preserve"> - Kategorizace objektů a prostor z hlediska fyzické ochrany,</w:t>
      </w:r>
    </w:p>
    <w:p w14:paraId="2BCA8D56" w14:textId="77777777" w:rsidR="00454924" w:rsidRPr="002402C1" w:rsidRDefault="00454924" w:rsidP="00454924">
      <w:pPr>
        <w:pStyle w:val="Odstavecseseznamem"/>
        <w:spacing w:after="0"/>
        <w:rPr>
          <w:rFonts w:ascii="Verdana" w:hAnsi="Verdana"/>
          <w:color w:val="000000"/>
        </w:rPr>
      </w:pPr>
    </w:p>
    <w:p w14:paraId="0FCE80DD" w14:textId="3B1973C8" w:rsidR="00454924" w:rsidRPr="002402C1" w:rsidRDefault="00454924" w:rsidP="00454924">
      <w:pPr>
        <w:pStyle w:val="Odstavecseseznamem"/>
        <w:numPr>
          <w:ilvl w:val="0"/>
          <w:numId w:val="7"/>
        </w:numPr>
        <w:spacing w:before="120"/>
        <w:contextualSpacing w:val="0"/>
        <w:rPr>
          <w:rFonts w:ascii="Verdana" w:hAnsi="Verdana"/>
          <w:color w:val="000000"/>
        </w:rPr>
      </w:pPr>
      <w:r w:rsidRPr="002402C1">
        <w:rPr>
          <w:rFonts w:ascii="Verdana" w:hAnsi="Verdana"/>
          <w:b/>
          <w:bCs/>
          <w:color w:val="000000"/>
        </w:rPr>
        <w:t>Samostatná příloha F Směrnice SM 07</w:t>
      </w:r>
      <w:r w:rsidRPr="002402C1">
        <w:rPr>
          <w:rFonts w:ascii="Verdana" w:hAnsi="Verdana"/>
          <w:color w:val="000000"/>
        </w:rPr>
        <w:t xml:space="preserve"> - Standard fyzické ochrany objektů a prostor Správy železnic, státní organizace,</w:t>
      </w:r>
    </w:p>
    <w:p w14:paraId="714C3B85" w14:textId="49E9FCD9" w:rsidR="00315ADF" w:rsidRPr="002402C1" w:rsidRDefault="00454924" w:rsidP="00454924">
      <w:pPr>
        <w:pStyle w:val="Odstavecseseznamem"/>
        <w:numPr>
          <w:ilvl w:val="0"/>
          <w:numId w:val="7"/>
        </w:numPr>
        <w:spacing w:before="120"/>
        <w:contextualSpacing w:val="0"/>
        <w:rPr>
          <w:bCs/>
        </w:rPr>
      </w:pPr>
      <w:r w:rsidRPr="002402C1">
        <w:rPr>
          <w:rFonts w:ascii="Verdana" w:hAnsi="Verdana"/>
          <w:b/>
          <w:color w:val="000000"/>
        </w:rPr>
        <w:t>informace,  o zařazení plánovaných pozemních staveb do bezpečnostních kategorií</w:t>
      </w:r>
      <w:r w:rsidR="009B2189" w:rsidRPr="002402C1">
        <w:rPr>
          <w:bCs/>
        </w:rPr>
        <w:t>.</w:t>
      </w:r>
    </w:p>
    <w:p w14:paraId="573776DB" w14:textId="1FF32F57" w:rsidR="009B2189" w:rsidRDefault="009B2189" w:rsidP="00315ADF">
      <w:pPr>
        <w:pStyle w:val="Nadpis2"/>
        <w:numPr>
          <w:ilvl w:val="0"/>
          <w:numId w:val="0"/>
        </w:numPr>
        <w:spacing w:before="120" w:line="264" w:lineRule="auto"/>
        <w:ind w:left="567"/>
        <w:contextualSpacing w:val="0"/>
        <w:rPr>
          <w:bCs/>
        </w:rPr>
      </w:pPr>
      <w:r w:rsidRPr="00454924">
        <w:rPr>
          <w:bCs/>
        </w:rPr>
        <w:t xml:space="preserve">Důvěrné </w:t>
      </w:r>
      <w:r w:rsidRPr="002402C1">
        <w:rPr>
          <w:bCs/>
        </w:rPr>
        <w:t xml:space="preserve">informace jsou a zůstanou předmětem práv, resp. majetkem </w:t>
      </w:r>
      <w:r w:rsidR="00454924" w:rsidRPr="002402C1">
        <w:rPr>
          <w:bCs/>
        </w:rPr>
        <w:t>zadavat</w:t>
      </w:r>
      <w:r w:rsidR="0070370A" w:rsidRPr="002402C1">
        <w:rPr>
          <w:bCs/>
        </w:rPr>
        <w:t>ele</w:t>
      </w:r>
      <w:r w:rsidRPr="002402C1">
        <w:rPr>
          <w:bCs/>
        </w:rPr>
        <w:t xml:space="preserve">, byť </w:t>
      </w:r>
      <w:r w:rsidR="00A13133" w:rsidRPr="002402C1">
        <w:rPr>
          <w:bCs/>
        </w:rPr>
        <w:t xml:space="preserve">by </w:t>
      </w:r>
      <w:r w:rsidRPr="002402C1">
        <w:rPr>
          <w:bCs/>
        </w:rPr>
        <w:t>žadatel s</w:t>
      </w:r>
      <w:r w:rsidR="004F01B0" w:rsidRPr="002402C1">
        <w:rPr>
          <w:bCs/>
        </w:rPr>
        <w:t> </w:t>
      </w:r>
      <w:r w:rsidR="00454924" w:rsidRPr="002402C1">
        <w:rPr>
          <w:b/>
          <w:bCs/>
        </w:rPr>
        <w:t>dokumentací</w:t>
      </w:r>
      <w:r w:rsidR="0070370A" w:rsidRPr="002402C1">
        <w:rPr>
          <w:bCs/>
        </w:rPr>
        <w:t xml:space="preserve"> </w:t>
      </w:r>
      <w:r w:rsidR="00A13133" w:rsidRPr="002402C1">
        <w:rPr>
          <w:bCs/>
        </w:rPr>
        <w:t xml:space="preserve">a dalšími informacemi </w:t>
      </w:r>
      <w:r w:rsidRPr="002402C1">
        <w:rPr>
          <w:bCs/>
        </w:rPr>
        <w:t>pracova</w:t>
      </w:r>
      <w:r w:rsidR="00A13133" w:rsidRPr="002402C1">
        <w:rPr>
          <w:bCs/>
        </w:rPr>
        <w:t>l</w:t>
      </w:r>
      <w:r w:rsidRPr="002402C1">
        <w:rPr>
          <w:bCs/>
        </w:rPr>
        <w:t xml:space="preserve"> </w:t>
      </w:r>
      <w:r w:rsidR="00A13133" w:rsidRPr="002402C1">
        <w:rPr>
          <w:bCs/>
        </w:rPr>
        <w:t xml:space="preserve">při </w:t>
      </w:r>
      <w:r w:rsidR="001845EA" w:rsidRPr="002402C1">
        <w:rPr>
          <w:bCs/>
        </w:rPr>
        <w:t xml:space="preserve">plnění </w:t>
      </w:r>
      <w:r w:rsidRPr="002402C1">
        <w:rPr>
          <w:bCs/>
        </w:rPr>
        <w:t xml:space="preserve">předmětu </w:t>
      </w:r>
      <w:r w:rsidR="00A13133" w:rsidRPr="002402C1">
        <w:rPr>
          <w:bCs/>
        </w:rPr>
        <w:t>veřejné zakázky</w:t>
      </w:r>
      <w:r w:rsidRPr="002402C1">
        <w:rPr>
          <w:bCs/>
        </w:rPr>
        <w:t xml:space="preserve">. Poskytnutí těchto důvěrných informací ze strany </w:t>
      </w:r>
      <w:r w:rsidR="00454924" w:rsidRPr="002402C1">
        <w:rPr>
          <w:bCs/>
        </w:rPr>
        <w:t>zadav</w:t>
      </w:r>
      <w:r w:rsidR="0070370A" w:rsidRPr="002402C1">
        <w:rPr>
          <w:bCs/>
        </w:rPr>
        <w:t xml:space="preserve">atele </w:t>
      </w:r>
      <w:r w:rsidRPr="002402C1">
        <w:rPr>
          <w:bCs/>
        </w:rPr>
        <w:t>nezakládá jakákoliv práva (včetně jakýchkoliv práv duševního</w:t>
      </w:r>
      <w:r w:rsidRPr="009B2189">
        <w:rPr>
          <w:bCs/>
        </w:rPr>
        <w:t xml:space="preserve"> vlastnictví)</w:t>
      </w:r>
      <w:r>
        <w:rPr>
          <w:bCs/>
        </w:rPr>
        <w:t xml:space="preserve"> </w:t>
      </w:r>
      <w:r w:rsidRPr="009B2189">
        <w:rPr>
          <w:bCs/>
        </w:rPr>
        <w:t>žadatele k</w:t>
      </w:r>
      <w:r w:rsidR="004F01B0">
        <w:rPr>
          <w:bCs/>
        </w:rPr>
        <w:t> </w:t>
      </w:r>
      <w:r w:rsidR="00AB1110">
        <w:rPr>
          <w:bCs/>
        </w:rPr>
        <w:t>D</w:t>
      </w:r>
      <w:r w:rsidRPr="009B2189">
        <w:rPr>
          <w:bCs/>
        </w:rPr>
        <w:t>ůvěrným informacím.</w:t>
      </w:r>
    </w:p>
    <w:p w14:paraId="6448DC44" w14:textId="77777777" w:rsidR="00705FC2" w:rsidRPr="00705FC2" w:rsidRDefault="00705FC2" w:rsidP="00705FC2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705FC2">
        <w:rPr>
          <w:bCs/>
        </w:rPr>
        <w:lastRenderedPageBreak/>
        <w:t>Žadatel se zavazuje, že:</w:t>
      </w:r>
    </w:p>
    <w:p w14:paraId="0D1AFBF3" w14:textId="07C21B65" w:rsidR="00705FC2" w:rsidRPr="00705FC2" w:rsidRDefault="00E45F99" w:rsidP="003A099C">
      <w:pPr>
        <w:pStyle w:val="Nadpis3"/>
        <w:ind w:left="851" w:hanging="284"/>
      </w:pPr>
      <w:r>
        <w:t>bude využívat D</w:t>
      </w:r>
      <w:r w:rsidR="00705FC2" w:rsidRPr="00705FC2">
        <w:t xml:space="preserve">ůvěrné informace pouze pro účely zadávacího řízení a </w:t>
      </w:r>
      <w:r w:rsidR="004F01B0">
        <w:t xml:space="preserve">případného </w:t>
      </w:r>
      <w:r w:rsidR="00705FC2" w:rsidRPr="00705FC2">
        <w:t>následného plnění</w:t>
      </w:r>
      <w:r w:rsidR="00705FC2">
        <w:t xml:space="preserve"> </w:t>
      </w:r>
      <w:r w:rsidR="00705FC2" w:rsidRPr="00705FC2">
        <w:t>realizovaného na základě zadávacího řízení;</w:t>
      </w:r>
    </w:p>
    <w:p w14:paraId="10AB26F0" w14:textId="0F51C903" w:rsidR="00705FC2" w:rsidRPr="00705FC2" w:rsidRDefault="00705FC2" w:rsidP="00705FC2">
      <w:pPr>
        <w:pStyle w:val="Nadpis3"/>
        <w:ind w:left="851" w:hanging="284"/>
        <w:rPr>
          <w:bCs/>
        </w:rPr>
      </w:pPr>
      <w:r w:rsidRPr="00705FC2">
        <w:rPr>
          <w:bCs/>
        </w:rPr>
        <w:t>bude zacházet s</w:t>
      </w:r>
      <w:r w:rsidR="004F01B0">
        <w:rPr>
          <w:bCs/>
        </w:rPr>
        <w:t> </w:t>
      </w:r>
      <w:r w:rsidR="00AB1110">
        <w:rPr>
          <w:bCs/>
        </w:rPr>
        <w:t>D</w:t>
      </w:r>
      <w:r w:rsidRPr="00705FC2">
        <w:rPr>
          <w:bCs/>
        </w:rPr>
        <w:t>ůvěrnými informacemi v</w:t>
      </w:r>
      <w:r w:rsidR="004F01B0">
        <w:rPr>
          <w:bCs/>
        </w:rPr>
        <w:t> </w:t>
      </w:r>
      <w:r w:rsidRPr="00705FC2">
        <w:rPr>
          <w:bCs/>
        </w:rPr>
        <w:t>souladu s</w:t>
      </w:r>
      <w:r w:rsidR="004F01B0">
        <w:rPr>
          <w:bCs/>
        </w:rPr>
        <w:t> </w:t>
      </w:r>
      <w:r w:rsidRPr="00705FC2">
        <w:rPr>
          <w:bCs/>
        </w:rPr>
        <w:t>touto Dohodou tak, aby byla zachována jejich důvěrná povaha, a zajist</w:t>
      </w:r>
      <w:r w:rsidR="00AB1110">
        <w:rPr>
          <w:bCs/>
        </w:rPr>
        <w:t>í, aby nedošlo ke zpřístupnění D</w:t>
      </w:r>
      <w:r w:rsidRPr="00705FC2">
        <w:rPr>
          <w:bCs/>
        </w:rPr>
        <w:t>ůvěrných</w:t>
      </w:r>
      <w:r>
        <w:rPr>
          <w:bCs/>
        </w:rPr>
        <w:t xml:space="preserve"> </w:t>
      </w:r>
      <w:r w:rsidRPr="00705FC2">
        <w:rPr>
          <w:bCs/>
        </w:rPr>
        <w:t>informací třetím osobám, a to jakýmkoli způsobem;</w:t>
      </w:r>
    </w:p>
    <w:p w14:paraId="2ECF44F8" w14:textId="71254380" w:rsidR="00705FC2" w:rsidRPr="00705FC2" w:rsidRDefault="00705FC2" w:rsidP="00705FC2">
      <w:pPr>
        <w:pStyle w:val="Nadpis3"/>
        <w:ind w:left="851" w:hanging="284"/>
        <w:rPr>
          <w:bCs/>
        </w:rPr>
      </w:pPr>
      <w:r w:rsidRPr="00705FC2">
        <w:rPr>
          <w:bCs/>
        </w:rPr>
        <w:t xml:space="preserve">bez předchozího písemného souhlasu </w:t>
      </w:r>
      <w:r w:rsidR="00454924">
        <w:rPr>
          <w:bCs/>
        </w:rPr>
        <w:t>zadava</w:t>
      </w:r>
      <w:r w:rsidR="0070370A">
        <w:rPr>
          <w:bCs/>
        </w:rPr>
        <w:t>tele</w:t>
      </w:r>
      <w:r w:rsidR="0070370A" w:rsidRPr="00705FC2">
        <w:rPr>
          <w:bCs/>
        </w:rPr>
        <w:t xml:space="preserve"> </w:t>
      </w:r>
      <w:r w:rsidRPr="00705FC2">
        <w:rPr>
          <w:bCs/>
        </w:rPr>
        <w:t xml:space="preserve">neposkytne </w:t>
      </w:r>
      <w:r w:rsidR="00AB1110">
        <w:rPr>
          <w:bCs/>
        </w:rPr>
        <w:t>D</w:t>
      </w:r>
      <w:r w:rsidRPr="00705FC2">
        <w:rPr>
          <w:bCs/>
        </w:rPr>
        <w:t>ůvěrné informace jakékoliv třetí osobě s</w:t>
      </w:r>
      <w:r w:rsidR="004F01B0">
        <w:rPr>
          <w:bCs/>
        </w:rPr>
        <w:t> </w:t>
      </w:r>
      <w:r w:rsidRPr="00705FC2">
        <w:rPr>
          <w:bCs/>
        </w:rPr>
        <w:t>výjimkou svých zaměstnanců nebo osob v</w:t>
      </w:r>
      <w:r w:rsidR="004F01B0">
        <w:rPr>
          <w:bCs/>
        </w:rPr>
        <w:t> </w:t>
      </w:r>
      <w:r w:rsidRPr="00705FC2">
        <w:rPr>
          <w:bCs/>
        </w:rPr>
        <w:t xml:space="preserve">obdobném postavení (tj. i </w:t>
      </w:r>
      <w:r w:rsidR="00C72EC7">
        <w:rPr>
          <w:bCs/>
        </w:rPr>
        <w:t>poddodavatele</w:t>
      </w:r>
      <w:r w:rsidRPr="00705FC2">
        <w:rPr>
          <w:bCs/>
        </w:rPr>
        <w:t>) podílejících se na zpracování jeho nabídky do zadávacího řízení či na</w:t>
      </w:r>
      <w:r>
        <w:rPr>
          <w:bCs/>
        </w:rPr>
        <w:t xml:space="preserve"> </w:t>
      </w:r>
      <w:r w:rsidRPr="00705FC2">
        <w:rPr>
          <w:bCs/>
        </w:rPr>
        <w:t>následném plnění realizovaném na základě zadávacího řízení</w:t>
      </w:r>
      <w:r w:rsidR="00E45F99">
        <w:rPr>
          <w:bCs/>
        </w:rPr>
        <w:t xml:space="preserve"> k veřejné zakázce</w:t>
      </w:r>
      <w:r w:rsidRPr="00705FC2">
        <w:rPr>
          <w:bCs/>
        </w:rPr>
        <w:t>;</w:t>
      </w:r>
    </w:p>
    <w:p w14:paraId="38411641" w14:textId="7BF172B2" w:rsidR="00705FC2" w:rsidRPr="00705FC2" w:rsidRDefault="00705FC2" w:rsidP="00705FC2">
      <w:pPr>
        <w:pStyle w:val="Nadpis3"/>
        <w:ind w:left="851" w:hanging="284"/>
        <w:rPr>
          <w:bCs/>
        </w:rPr>
      </w:pPr>
      <w:r w:rsidRPr="00705FC2">
        <w:rPr>
          <w:bCs/>
        </w:rPr>
        <w:t>bude informovat všechny osoby uvedené v</w:t>
      </w:r>
      <w:r w:rsidR="004F01B0">
        <w:rPr>
          <w:bCs/>
        </w:rPr>
        <w:t> </w:t>
      </w:r>
      <w:r w:rsidRPr="00705FC2">
        <w:rPr>
          <w:bCs/>
        </w:rPr>
        <w:t>písm.</w:t>
      </w:r>
      <w:r w:rsidR="004F01B0">
        <w:rPr>
          <w:bCs/>
        </w:rPr>
        <w:t> </w:t>
      </w:r>
      <w:r w:rsidRPr="00705FC2">
        <w:rPr>
          <w:bCs/>
        </w:rPr>
        <w:t>c) tohoto odstavce, včetně svých zaměstnanců, osob v</w:t>
      </w:r>
      <w:r w:rsidR="004F01B0">
        <w:rPr>
          <w:bCs/>
        </w:rPr>
        <w:t> </w:t>
      </w:r>
      <w:r w:rsidRPr="00705FC2">
        <w:rPr>
          <w:bCs/>
        </w:rPr>
        <w:t xml:space="preserve">obdobném postavení a </w:t>
      </w:r>
      <w:r w:rsidR="00C72EC7">
        <w:rPr>
          <w:bCs/>
        </w:rPr>
        <w:t>poddodavatelů</w:t>
      </w:r>
      <w:r w:rsidRPr="00705FC2">
        <w:rPr>
          <w:bCs/>
        </w:rPr>
        <w:t xml:space="preserve"> podílejících se na zpracování jeho nabídky do zadávacího řízení či na následném plnění realizovaném na základě zadávacíh</w:t>
      </w:r>
      <w:r w:rsidR="00E45F99">
        <w:rPr>
          <w:bCs/>
        </w:rPr>
        <w:t>o řízení, o důvěrné povaze D</w:t>
      </w:r>
      <w:r w:rsidRPr="00705FC2">
        <w:rPr>
          <w:bCs/>
        </w:rPr>
        <w:t>ůvěrných informací a</w:t>
      </w:r>
      <w:r w:rsidR="00C72EC7">
        <w:rPr>
          <w:bCs/>
        </w:rPr>
        <w:t xml:space="preserve"> smluvně</w:t>
      </w:r>
      <w:r w:rsidRPr="00705FC2">
        <w:rPr>
          <w:bCs/>
        </w:rPr>
        <w:t xml:space="preserve"> zajistí, aby všechny tyto osoby dodržovaly podmínky obsažené v</w:t>
      </w:r>
      <w:r w:rsidR="004F01B0">
        <w:rPr>
          <w:bCs/>
        </w:rPr>
        <w:t> </w:t>
      </w:r>
      <w:r w:rsidRPr="00705FC2">
        <w:rPr>
          <w:bCs/>
        </w:rPr>
        <w:t xml:space="preserve">této Dohodě týkající se ochrany </w:t>
      </w:r>
      <w:r w:rsidR="00E45F99">
        <w:rPr>
          <w:bCs/>
        </w:rPr>
        <w:t>D</w:t>
      </w:r>
      <w:r w:rsidRPr="00705FC2">
        <w:rPr>
          <w:bCs/>
        </w:rPr>
        <w:t xml:space="preserve">ůvěrných informací a chránily </w:t>
      </w:r>
      <w:r w:rsidR="00E45F99">
        <w:rPr>
          <w:bCs/>
        </w:rPr>
        <w:t>D</w:t>
      </w:r>
      <w:r w:rsidRPr="00705FC2">
        <w:rPr>
          <w:bCs/>
        </w:rPr>
        <w:t>ůvěrné informace alespoň způsobem odpovídajícím míře ochrany</w:t>
      </w:r>
      <w:r>
        <w:rPr>
          <w:bCs/>
        </w:rPr>
        <w:t xml:space="preserve"> </w:t>
      </w:r>
      <w:r w:rsidR="00E45F99">
        <w:rPr>
          <w:bCs/>
        </w:rPr>
        <w:t>D</w:t>
      </w:r>
      <w:r w:rsidRPr="00705FC2">
        <w:rPr>
          <w:bCs/>
        </w:rPr>
        <w:t>ůvěrných informací podle této Dohody;</w:t>
      </w:r>
    </w:p>
    <w:p w14:paraId="2E7203A4" w14:textId="417730CB" w:rsidR="00705FC2" w:rsidRDefault="00705FC2" w:rsidP="00705FC2">
      <w:pPr>
        <w:pStyle w:val="Nadpis3"/>
        <w:ind w:left="851" w:hanging="284"/>
        <w:rPr>
          <w:bCs/>
        </w:rPr>
      </w:pPr>
      <w:r w:rsidRPr="00705FC2">
        <w:rPr>
          <w:bCs/>
        </w:rPr>
        <w:t xml:space="preserve">nahradí </w:t>
      </w:r>
      <w:r w:rsidR="00454924">
        <w:rPr>
          <w:bCs/>
        </w:rPr>
        <w:t>zadava</w:t>
      </w:r>
      <w:r w:rsidR="0070370A">
        <w:rPr>
          <w:bCs/>
        </w:rPr>
        <w:t>teli</w:t>
      </w:r>
      <w:r w:rsidR="0070370A" w:rsidRPr="00705FC2">
        <w:rPr>
          <w:bCs/>
        </w:rPr>
        <w:t xml:space="preserve"> </w:t>
      </w:r>
      <w:r w:rsidRPr="00705FC2">
        <w:rPr>
          <w:bCs/>
        </w:rPr>
        <w:t>jakoukoliv škodu, která mu vznikne v</w:t>
      </w:r>
      <w:r w:rsidR="004F01B0">
        <w:rPr>
          <w:bCs/>
        </w:rPr>
        <w:t> </w:t>
      </w:r>
      <w:r w:rsidRPr="00705FC2">
        <w:rPr>
          <w:bCs/>
        </w:rPr>
        <w:t>důsledku porušení povinností vyplývajících pro žadatele z</w:t>
      </w:r>
      <w:r w:rsidR="004F01B0">
        <w:rPr>
          <w:bCs/>
        </w:rPr>
        <w:t> </w:t>
      </w:r>
      <w:r w:rsidRPr="00705FC2">
        <w:rPr>
          <w:bCs/>
        </w:rPr>
        <w:t>této Dohody. V</w:t>
      </w:r>
      <w:r w:rsidR="004F01B0">
        <w:rPr>
          <w:bCs/>
        </w:rPr>
        <w:t> </w:t>
      </w:r>
      <w:r w:rsidRPr="00705FC2">
        <w:rPr>
          <w:bCs/>
        </w:rPr>
        <w:t xml:space="preserve">případě, kdy žadatel využije v zadávacím řízení či při následném plnění realizovaném na základě zadávacího řízení dalších osob (např. </w:t>
      </w:r>
      <w:r w:rsidR="000B4AF7">
        <w:rPr>
          <w:bCs/>
        </w:rPr>
        <w:t>poddodavatelů</w:t>
      </w:r>
      <w:r w:rsidRPr="00705FC2">
        <w:rPr>
          <w:bCs/>
        </w:rPr>
        <w:t xml:space="preserve">), pak za porušení povinností vyplývajících pro žadatele z této Dohody způsobené těmito osobami bude vůči </w:t>
      </w:r>
      <w:r w:rsidR="00454924">
        <w:rPr>
          <w:bCs/>
        </w:rPr>
        <w:t>zadava</w:t>
      </w:r>
      <w:r w:rsidR="0070370A">
        <w:rPr>
          <w:bCs/>
        </w:rPr>
        <w:t>teli</w:t>
      </w:r>
      <w:r w:rsidR="0070370A" w:rsidRPr="00705FC2">
        <w:rPr>
          <w:bCs/>
        </w:rPr>
        <w:t xml:space="preserve"> </w:t>
      </w:r>
      <w:r w:rsidRPr="00705FC2">
        <w:rPr>
          <w:bCs/>
        </w:rPr>
        <w:t xml:space="preserve">odpovídat tak, jako by jej sám způsobil. </w:t>
      </w:r>
    </w:p>
    <w:p w14:paraId="731D0409" w14:textId="3335A792" w:rsidR="00E45F99" w:rsidRDefault="00E45F99" w:rsidP="00E45F99">
      <w:pPr>
        <w:pStyle w:val="Nadpis3"/>
        <w:ind w:left="851" w:hanging="284"/>
        <w:rPr>
          <w:bCs/>
        </w:rPr>
      </w:pPr>
      <w:r w:rsidRPr="00E45F99">
        <w:rPr>
          <w:bCs/>
        </w:rPr>
        <w:t xml:space="preserve">na vyžádání </w:t>
      </w:r>
      <w:r>
        <w:rPr>
          <w:bCs/>
        </w:rPr>
        <w:t>zadavatele</w:t>
      </w:r>
      <w:r w:rsidRPr="00E45F99">
        <w:rPr>
          <w:bCs/>
        </w:rPr>
        <w:t xml:space="preserve"> </w:t>
      </w:r>
      <w:r>
        <w:rPr>
          <w:bCs/>
        </w:rPr>
        <w:t>vrátí</w:t>
      </w:r>
      <w:r w:rsidRPr="00E45F99">
        <w:rPr>
          <w:bCs/>
        </w:rPr>
        <w:t xml:space="preserve"> nebo znič</w:t>
      </w:r>
      <w:r>
        <w:rPr>
          <w:bCs/>
        </w:rPr>
        <w:t>í</w:t>
      </w:r>
      <w:r w:rsidRPr="00E45F99">
        <w:rPr>
          <w:bCs/>
        </w:rPr>
        <w:t xml:space="preserve"> veškeré nosiče, na kterých jsou </w:t>
      </w:r>
      <w:r>
        <w:rPr>
          <w:bCs/>
        </w:rPr>
        <w:t>Důvěrné</w:t>
      </w:r>
      <w:r w:rsidRPr="00E45F99">
        <w:rPr>
          <w:bCs/>
        </w:rPr>
        <w:t xml:space="preserve"> informace obsaženy a veškeré pořízené kopie </w:t>
      </w:r>
      <w:r>
        <w:rPr>
          <w:bCs/>
        </w:rPr>
        <w:t>Důvěrných</w:t>
      </w:r>
      <w:r w:rsidRPr="00E45F99">
        <w:rPr>
          <w:bCs/>
        </w:rPr>
        <w:t xml:space="preserve"> informací;</w:t>
      </w:r>
    </w:p>
    <w:p w14:paraId="6A810330" w14:textId="30C1EA57" w:rsidR="00E45F99" w:rsidRPr="00E45F99" w:rsidRDefault="00E45F99" w:rsidP="00E45F99">
      <w:pPr>
        <w:pStyle w:val="Nadpis2"/>
        <w:spacing w:before="120" w:line="264" w:lineRule="auto"/>
        <w:ind w:left="567"/>
        <w:contextualSpacing w:val="0"/>
        <w:rPr>
          <w:bCs/>
        </w:rPr>
      </w:pPr>
      <w:r>
        <w:rPr>
          <w:bCs/>
        </w:rPr>
        <w:t>Zadavatel</w:t>
      </w:r>
      <w:r w:rsidRPr="00E45F99">
        <w:rPr>
          <w:bCs/>
        </w:rPr>
        <w:t xml:space="preserve"> předává informace v dobré víře tak, jak jsou mu známy k datu předání. V případě pochybností je na </w:t>
      </w:r>
      <w:r>
        <w:rPr>
          <w:bCs/>
        </w:rPr>
        <w:t>žadateli</w:t>
      </w:r>
      <w:r w:rsidRPr="00E45F99">
        <w:rPr>
          <w:bCs/>
        </w:rPr>
        <w:t xml:space="preserve"> jejich prověření. </w:t>
      </w:r>
    </w:p>
    <w:p w14:paraId="2C6A65F4" w14:textId="77777777" w:rsidR="00E45F99" w:rsidRPr="00E45F99" w:rsidRDefault="00E45F99" w:rsidP="00E45F99">
      <w:pPr>
        <w:rPr>
          <w:lang w:eastAsia="cs-CZ"/>
        </w:rPr>
      </w:pPr>
    </w:p>
    <w:p w14:paraId="6B52F188" w14:textId="1FB1BB4C" w:rsidR="004D54D2" w:rsidRPr="004D54D2" w:rsidRDefault="004D54D2" w:rsidP="004D54D2">
      <w:pPr>
        <w:pStyle w:val="Nadpis1"/>
        <w:ind w:left="567" w:hanging="567"/>
      </w:pPr>
      <w:r w:rsidRPr="004D54D2">
        <w:t>Doba trvání Dohody</w:t>
      </w:r>
    </w:p>
    <w:p w14:paraId="6808D32F" w14:textId="6DFE26EC" w:rsidR="004D54D2" w:rsidRDefault="004D54D2" w:rsidP="004D54D2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4D54D2">
        <w:rPr>
          <w:bCs/>
        </w:rPr>
        <w:t>Tato Dohoda se uzavírá na dobu neurčitou.</w:t>
      </w:r>
    </w:p>
    <w:p w14:paraId="532D2CA8" w14:textId="24472148" w:rsidR="002026F0" w:rsidRPr="002026F0" w:rsidRDefault="002026F0" w:rsidP="002026F0">
      <w:pPr>
        <w:pStyle w:val="Nadpis2"/>
        <w:spacing w:before="120" w:line="264" w:lineRule="auto"/>
        <w:ind w:left="567"/>
        <w:contextualSpacing w:val="0"/>
        <w:rPr>
          <w:bCs/>
        </w:rPr>
      </w:pPr>
      <w:r>
        <w:rPr>
          <w:bCs/>
        </w:rPr>
        <w:t>Pro vyloučení pochybností smluvní strany konstatují, že z</w:t>
      </w:r>
      <w:r w:rsidRPr="002026F0">
        <w:rPr>
          <w:bCs/>
        </w:rPr>
        <w:t xml:space="preserve">ávazky </w:t>
      </w:r>
      <w:r>
        <w:rPr>
          <w:bCs/>
        </w:rPr>
        <w:t>žadatele</w:t>
      </w:r>
      <w:r w:rsidRPr="002026F0">
        <w:rPr>
          <w:bCs/>
        </w:rPr>
        <w:t xml:space="preserve"> stanovené touto </w:t>
      </w:r>
      <w:r>
        <w:rPr>
          <w:bCs/>
        </w:rPr>
        <w:t>Dohodou</w:t>
      </w:r>
      <w:r w:rsidRPr="002026F0">
        <w:rPr>
          <w:bCs/>
        </w:rPr>
        <w:t xml:space="preserve"> k ochraně </w:t>
      </w:r>
      <w:r>
        <w:rPr>
          <w:bCs/>
        </w:rPr>
        <w:t>Důvěrných</w:t>
      </w:r>
      <w:r w:rsidRPr="002026F0">
        <w:rPr>
          <w:bCs/>
        </w:rPr>
        <w:t xml:space="preserve"> informací předaných </w:t>
      </w:r>
      <w:r>
        <w:rPr>
          <w:bCs/>
        </w:rPr>
        <w:t>žadatel</w:t>
      </w:r>
      <w:r w:rsidRPr="002026F0">
        <w:rPr>
          <w:bCs/>
        </w:rPr>
        <w:t xml:space="preserve">i, platí i nadále po ukončení účinnosti této </w:t>
      </w:r>
      <w:r w:rsidR="00E45F99">
        <w:rPr>
          <w:bCs/>
        </w:rPr>
        <w:t>Dohody</w:t>
      </w:r>
      <w:r w:rsidRPr="002026F0">
        <w:rPr>
          <w:bCs/>
        </w:rPr>
        <w:t>.</w:t>
      </w:r>
    </w:p>
    <w:p w14:paraId="359A97C1" w14:textId="1086ADAF" w:rsidR="004D54D2" w:rsidRDefault="00E45F99" w:rsidP="004D54D2">
      <w:pPr>
        <w:pStyle w:val="Nadpis1"/>
        <w:ind w:left="567" w:hanging="567"/>
      </w:pPr>
      <w:r>
        <w:t>Sankční ustanovení</w:t>
      </w:r>
    </w:p>
    <w:p w14:paraId="26BC1357" w14:textId="1FA9D0E1" w:rsidR="00E45F99" w:rsidRPr="00E45F99" w:rsidRDefault="00E45F99" w:rsidP="00E45F99">
      <w:pPr>
        <w:pStyle w:val="Nadpis2"/>
        <w:spacing w:before="120" w:line="264" w:lineRule="auto"/>
        <w:ind w:left="567"/>
        <w:contextualSpacing w:val="0"/>
        <w:rPr>
          <w:bCs/>
        </w:rPr>
      </w:pPr>
      <w:r>
        <w:rPr>
          <w:bCs/>
        </w:rPr>
        <w:t>Žadatel</w:t>
      </w:r>
      <w:r w:rsidRPr="00E45F99">
        <w:rPr>
          <w:bCs/>
        </w:rPr>
        <w:t xml:space="preserve"> </w:t>
      </w:r>
      <w:r>
        <w:rPr>
          <w:bCs/>
        </w:rPr>
        <w:t>se zavazuje nahradit zadavateli</w:t>
      </w:r>
      <w:r w:rsidRPr="00E45F99">
        <w:rPr>
          <w:bCs/>
        </w:rPr>
        <w:t xml:space="preserve"> jakoukoliv újmu vzniklou v důsledku či v souvislosti s porušením svých povinností dle této </w:t>
      </w:r>
      <w:r>
        <w:rPr>
          <w:bCs/>
        </w:rPr>
        <w:t>Dohody</w:t>
      </w:r>
      <w:r w:rsidRPr="00E45F99">
        <w:rPr>
          <w:bCs/>
        </w:rPr>
        <w:t>.</w:t>
      </w:r>
    </w:p>
    <w:p w14:paraId="0B509B0B" w14:textId="3649B564" w:rsidR="004D54D2" w:rsidRPr="002402C1" w:rsidRDefault="004D54D2" w:rsidP="0010486E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4D54D2">
        <w:rPr>
          <w:bCs/>
        </w:rPr>
        <w:t>V</w:t>
      </w:r>
      <w:r w:rsidR="004F01B0">
        <w:rPr>
          <w:bCs/>
        </w:rPr>
        <w:t> </w:t>
      </w:r>
      <w:r w:rsidRPr="004D54D2">
        <w:rPr>
          <w:bCs/>
        </w:rPr>
        <w:t xml:space="preserve">případě, že žadatel poruší </w:t>
      </w:r>
      <w:r w:rsidRPr="002402C1">
        <w:rPr>
          <w:bCs/>
        </w:rPr>
        <w:t>jakýkoliv svůj závazek nebo nesplní jakoukoliv povinnost vyplývající pro něj z</w:t>
      </w:r>
      <w:r w:rsidR="004F01B0" w:rsidRPr="002402C1">
        <w:rPr>
          <w:bCs/>
        </w:rPr>
        <w:t> </w:t>
      </w:r>
      <w:r w:rsidR="00E45F99" w:rsidRPr="002402C1">
        <w:rPr>
          <w:bCs/>
        </w:rPr>
        <w:t>této Dohody při nakládání s D</w:t>
      </w:r>
      <w:r w:rsidRPr="002402C1">
        <w:rPr>
          <w:bCs/>
        </w:rPr>
        <w:t xml:space="preserve">ůvěrnými informacemi, zavazuje se uhradit </w:t>
      </w:r>
      <w:r w:rsidR="00454924" w:rsidRPr="002402C1">
        <w:rPr>
          <w:bCs/>
        </w:rPr>
        <w:t>zadava</w:t>
      </w:r>
      <w:r w:rsidR="0070370A" w:rsidRPr="002402C1">
        <w:rPr>
          <w:bCs/>
        </w:rPr>
        <w:t xml:space="preserve">teli </w:t>
      </w:r>
      <w:r w:rsidRPr="002402C1">
        <w:rPr>
          <w:bCs/>
        </w:rPr>
        <w:t xml:space="preserve">smluvní pokutu ve výši </w:t>
      </w:r>
      <w:r w:rsidR="00315ADF" w:rsidRPr="002402C1">
        <w:rPr>
          <w:bCs/>
        </w:rPr>
        <w:t>5</w:t>
      </w:r>
      <w:r w:rsidRPr="002402C1">
        <w:rPr>
          <w:bCs/>
        </w:rPr>
        <w:t xml:space="preserve">00.000, - Kč (slovy: </w:t>
      </w:r>
      <w:r w:rsidR="00315ADF" w:rsidRPr="002402C1">
        <w:rPr>
          <w:bCs/>
        </w:rPr>
        <w:t>pět</w:t>
      </w:r>
      <w:r w:rsidR="004F01B0" w:rsidRPr="002402C1">
        <w:rPr>
          <w:bCs/>
        </w:rPr>
        <w:t xml:space="preserve"> </w:t>
      </w:r>
      <w:r w:rsidR="00315ADF" w:rsidRPr="002402C1">
        <w:rPr>
          <w:bCs/>
        </w:rPr>
        <w:t>set</w:t>
      </w:r>
      <w:r w:rsidRPr="002402C1">
        <w:rPr>
          <w:bCs/>
        </w:rPr>
        <w:t xml:space="preserve"> </w:t>
      </w:r>
      <w:r w:rsidR="004F01B0" w:rsidRPr="002402C1">
        <w:rPr>
          <w:bCs/>
        </w:rPr>
        <w:t xml:space="preserve">tisíc </w:t>
      </w:r>
      <w:r w:rsidRPr="002402C1">
        <w:rPr>
          <w:bCs/>
        </w:rPr>
        <w:t>korun českých) za každý jeden takový případ.</w:t>
      </w:r>
    </w:p>
    <w:p w14:paraId="21BE0158" w14:textId="225D2805" w:rsidR="004D54D2" w:rsidRDefault="004D54D2" w:rsidP="00A11341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4D54D2">
        <w:rPr>
          <w:bCs/>
        </w:rPr>
        <w:t xml:space="preserve">Žadatel je povinen smluvní pokutu uhradit do </w:t>
      </w:r>
      <w:r w:rsidR="00946734">
        <w:rPr>
          <w:bCs/>
        </w:rPr>
        <w:t>třiceti</w:t>
      </w:r>
      <w:r w:rsidRPr="004D54D2">
        <w:rPr>
          <w:bCs/>
        </w:rPr>
        <w:t xml:space="preserve"> (</w:t>
      </w:r>
      <w:r w:rsidR="00946734">
        <w:rPr>
          <w:bCs/>
        </w:rPr>
        <w:t>30</w:t>
      </w:r>
      <w:r w:rsidRPr="004D54D2">
        <w:rPr>
          <w:bCs/>
        </w:rPr>
        <w:t>) kalendářních dnů ode dne kdy byl k</w:t>
      </w:r>
      <w:r w:rsidR="004F01B0">
        <w:rPr>
          <w:bCs/>
        </w:rPr>
        <w:t> </w:t>
      </w:r>
      <w:r w:rsidRPr="004D54D2">
        <w:rPr>
          <w:bCs/>
        </w:rPr>
        <w:t xml:space="preserve">úhradě smluvní pokuty </w:t>
      </w:r>
      <w:r w:rsidR="00454924">
        <w:rPr>
          <w:bCs/>
        </w:rPr>
        <w:t>zadava</w:t>
      </w:r>
      <w:r w:rsidR="0070370A">
        <w:rPr>
          <w:bCs/>
        </w:rPr>
        <w:t>telem</w:t>
      </w:r>
      <w:r w:rsidR="0070370A" w:rsidRPr="004D54D2">
        <w:rPr>
          <w:bCs/>
        </w:rPr>
        <w:t xml:space="preserve"> </w:t>
      </w:r>
      <w:r w:rsidRPr="004D54D2">
        <w:rPr>
          <w:bCs/>
        </w:rPr>
        <w:t xml:space="preserve">vyzván, a to na bankovní účet </w:t>
      </w:r>
      <w:r w:rsidR="00454924">
        <w:rPr>
          <w:bCs/>
        </w:rPr>
        <w:t>zadava</w:t>
      </w:r>
      <w:r w:rsidR="0070370A">
        <w:rPr>
          <w:bCs/>
        </w:rPr>
        <w:t>tele</w:t>
      </w:r>
      <w:r w:rsidR="0070370A" w:rsidRPr="004D54D2">
        <w:rPr>
          <w:bCs/>
        </w:rPr>
        <w:t xml:space="preserve"> </w:t>
      </w:r>
      <w:r w:rsidRPr="004D54D2">
        <w:rPr>
          <w:bCs/>
        </w:rPr>
        <w:t>uvedený</w:t>
      </w:r>
      <w:r>
        <w:rPr>
          <w:bCs/>
        </w:rPr>
        <w:t xml:space="preserve"> </w:t>
      </w:r>
      <w:r w:rsidRPr="004D54D2">
        <w:rPr>
          <w:bCs/>
        </w:rPr>
        <w:t>ve výzvě k</w:t>
      </w:r>
      <w:r w:rsidR="004F01B0">
        <w:rPr>
          <w:bCs/>
        </w:rPr>
        <w:t> </w:t>
      </w:r>
      <w:r w:rsidRPr="004D54D2">
        <w:rPr>
          <w:bCs/>
        </w:rPr>
        <w:t>úhradě smluvní pokuty.</w:t>
      </w:r>
    </w:p>
    <w:p w14:paraId="741BA9CE" w14:textId="4049247F" w:rsidR="00E45F99" w:rsidRPr="00E45F99" w:rsidRDefault="00E45F99" w:rsidP="00E45F99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E45F99">
        <w:rPr>
          <w:bCs/>
        </w:rPr>
        <w:t xml:space="preserve">Sdělí-li </w:t>
      </w:r>
      <w:r>
        <w:rPr>
          <w:bCs/>
        </w:rPr>
        <w:t>žadatel</w:t>
      </w:r>
      <w:r w:rsidRPr="00E45F99">
        <w:rPr>
          <w:bCs/>
        </w:rPr>
        <w:t xml:space="preserve"> </w:t>
      </w:r>
      <w:r>
        <w:rPr>
          <w:bCs/>
        </w:rPr>
        <w:t>Důvěrné</w:t>
      </w:r>
      <w:r w:rsidRPr="00E45F99">
        <w:rPr>
          <w:bCs/>
        </w:rPr>
        <w:t xml:space="preserve"> informace nebo jejich část v rozporu s touto </w:t>
      </w:r>
      <w:r>
        <w:rPr>
          <w:bCs/>
        </w:rPr>
        <w:t>Dohodou</w:t>
      </w:r>
      <w:r w:rsidRPr="00E45F99">
        <w:rPr>
          <w:bCs/>
        </w:rPr>
        <w:t xml:space="preserve"> více osobám, platí se smluvní pokuta za každé sdělení </w:t>
      </w:r>
      <w:r>
        <w:rPr>
          <w:bCs/>
        </w:rPr>
        <w:t>Důvěrné</w:t>
      </w:r>
      <w:r w:rsidRPr="00E45F99">
        <w:rPr>
          <w:bCs/>
        </w:rPr>
        <w:t xml:space="preserve"> informace či její části každé této osobě.</w:t>
      </w:r>
    </w:p>
    <w:p w14:paraId="644E2E02" w14:textId="7369DC52" w:rsidR="00E45F99" w:rsidRPr="00E45F99" w:rsidRDefault="00E45F99" w:rsidP="00E45F99">
      <w:pPr>
        <w:pStyle w:val="Nadpis2"/>
        <w:spacing w:before="120" w:line="264" w:lineRule="auto"/>
        <w:ind w:left="567"/>
        <w:contextualSpacing w:val="0"/>
        <w:rPr>
          <w:bCs/>
        </w:rPr>
      </w:pPr>
      <w:r w:rsidRPr="00E45F99">
        <w:rPr>
          <w:bCs/>
        </w:rPr>
        <w:lastRenderedPageBreak/>
        <w:t xml:space="preserve">V případě, že </w:t>
      </w:r>
      <w:r>
        <w:rPr>
          <w:bCs/>
        </w:rPr>
        <w:t>žadatel</w:t>
      </w:r>
      <w:r w:rsidRPr="00E45F99">
        <w:rPr>
          <w:bCs/>
        </w:rPr>
        <w:t xml:space="preserve"> nebo osoby, jimž umožnil </w:t>
      </w:r>
      <w:r>
        <w:rPr>
          <w:bCs/>
        </w:rPr>
        <w:t>žadatel</w:t>
      </w:r>
      <w:r w:rsidRPr="00E45F99">
        <w:rPr>
          <w:bCs/>
        </w:rPr>
        <w:t xml:space="preserve"> nakládání s</w:t>
      </w:r>
      <w:r>
        <w:rPr>
          <w:bCs/>
        </w:rPr>
        <w:t xml:space="preserve"> Důvěrnými </w:t>
      </w:r>
      <w:r w:rsidRPr="00E45F99">
        <w:rPr>
          <w:bCs/>
        </w:rPr>
        <w:t xml:space="preserve">informacemi, tyto uveřejní nebo zpřístupní třetím osobám, zavazuje se </w:t>
      </w:r>
      <w:r>
        <w:rPr>
          <w:bCs/>
        </w:rPr>
        <w:t>žadatel</w:t>
      </w:r>
      <w:r w:rsidRPr="00E45F99">
        <w:rPr>
          <w:bCs/>
        </w:rPr>
        <w:t xml:space="preserve"> zaplatit </w:t>
      </w:r>
      <w:r>
        <w:rPr>
          <w:bCs/>
        </w:rPr>
        <w:t>zadavateli</w:t>
      </w:r>
      <w:r w:rsidRPr="00E45F99">
        <w:rPr>
          <w:bCs/>
        </w:rPr>
        <w:t xml:space="preserve"> smluvní pokutu ve výši 1.000.000,- Kč (slovy: jeden milion korun českých), a to za každý jednotlivý případ. Tím není v žádném rozsahu dotčeno </w:t>
      </w:r>
      <w:proofErr w:type="spellStart"/>
      <w:r w:rsidRPr="00E45F99">
        <w:rPr>
          <w:bCs/>
        </w:rPr>
        <w:t>ust</w:t>
      </w:r>
      <w:proofErr w:type="spellEnd"/>
      <w:r w:rsidRPr="00E45F99">
        <w:rPr>
          <w:bCs/>
        </w:rPr>
        <w:t xml:space="preserve">. </w:t>
      </w:r>
      <w:proofErr w:type="gramStart"/>
      <w:r w:rsidRPr="00E45F99">
        <w:rPr>
          <w:bCs/>
        </w:rPr>
        <w:t>čl.</w:t>
      </w:r>
      <w:proofErr w:type="gramEnd"/>
      <w:r w:rsidRPr="00E45F99">
        <w:rPr>
          <w:bCs/>
        </w:rPr>
        <w:t xml:space="preserve">  5.1 této </w:t>
      </w:r>
      <w:r w:rsidR="00781975">
        <w:rPr>
          <w:bCs/>
        </w:rPr>
        <w:t>Dohod</w:t>
      </w:r>
      <w:r w:rsidRPr="00E45F99">
        <w:rPr>
          <w:bCs/>
        </w:rPr>
        <w:t>y.</w:t>
      </w:r>
    </w:p>
    <w:p w14:paraId="1E4292FD" w14:textId="30697514" w:rsidR="004D54D2" w:rsidRDefault="00E45F99" w:rsidP="004D54D2">
      <w:pPr>
        <w:pStyle w:val="Nadpis2"/>
        <w:spacing w:before="120" w:line="264" w:lineRule="auto"/>
        <w:ind w:left="567"/>
        <w:contextualSpacing w:val="0"/>
        <w:rPr>
          <w:bCs/>
        </w:rPr>
      </w:pPr>
      <w:r>
        <w:rPr>
          <w:bCs/>
        </w:rPr>
        <w:t>Pro vyloučení pochybností smluvní strany konstatují, že u</w:t>
      </w:r>
      <w:r w:rsidR="004D54D2" w:rsidRPr="004D54D2">
        <w:rPr>
          <w:bCs/>
        </w:rPr>
        <w:t xml:space="preserve">platněním smluvní pokuty není dotčeno právo </w:t>
      </w:r>
      <w:r w:rsidR="00454924">
        <w:rPr>
          <w:bCs/>
        </w:rPr>
        <w:t>zadav</w:t>
      </w:r>
      <w:r w:rsidR="0070370A">
        <w:rPr>
          <w:bCs/>
        </w:rPr>
        <w:t>atele</w:t>
      </w:r>
      <w:r w:rsidR="0070370A" w:rsidRPr="004D54D2">
        <w:rPr>
          <w:bCs/>
        </w:rPr>
        <w:t xml:space="preserve"> </w:t>
      </w:r>
      <w:r w:rsidR="004D54D2" w:rsidRPr="004D54D2">
        <w:rPr>
          <w:bCs/>
        </w:rPr>
        <w:t>na náhradu škody.</w:t>
      </w:r>
    </w:p>
    <w:p w14:paraId="1240BEAF" w14:textId="6235A960" w:rsidR="00C54C91" w:rsidRPr="002402C1" w:rsidRDefault="00C54C91" w:rsidP="00C54C91">
      <w:pPr>
        <w:pStyle w:val="Nadpis1"/>
        <w:ind w:left="567" w:hanging="567"/>
      </w:pPr>
      <w:r w:rsidRPr="002402C1">
        <w:t>Závěrečná ustanovení</w:t>
      </w:r>
    </w:p>
    <w:p w14:paraId="12FC4A2F" w14:textId="191DAD50" w:rsidR="00E3223D" w:rsidRPr="002402C1" w:rsidRDefault="00E3223D" w:rsidP="001517DC">
      <w:pPr>
        <w:pStyle w:val="Nadpis2"/>
        <w:spacing w:before="120" w:after="240" w:line="264" w:lineRule="auto"/>
        <w:ind w:left="567"/>
        <w:rPr>
          <w:rFonts w:eastAsia="Calibri"/>
        </w:rPr>
      </w:pPr>
      <w:r w:rsidRPr="002402C1">
        <w:rPr>
          <w:rFonts w:eastAsia="Calibri"/>
        </w:rPr>
        <w:t xml:space="preserve">Smluvní strany berou na vědomí, že tato </w:t>
      </w:r>
      <w:r w:rsidR="00AB1110" w:rsidRPr="002402C1">
        <w:rPr>
          <w:rFonts w:eastAsia="Calibri"/>
        </w:rPr>
        <w:t>Dohoda</w:t>
      </w:r>
      <w:r w:rsidRPr="002402C1">
        <w:rPr>
          <w:rFonts w:eastAsia="Calibri"/>
        </w:rPr>
        <w:t xml:space="preserve"> podléhá uveřejnění v registru smluv podle zákona č. 340/2015 Sb., o zvláštních podmínkách účinnosti některých smluv, uveřejňování těchto smluv a o registru smluv (dále jen „ZRS“), a současně souhlasí se zveřejněním údajů o identifikaci sml</w:t>
      </w:r>
      <w:r w:rsidR="00AB1110" w:rsidRPr="002402C1">
        <w:rPr>
          <w:rFonts w:eastAsia="Calibri"/>
        </w:rPr>
        <w:t xml:space="preserve">uvních stran, předmětu smlouvy </w:t>
      </w:r>
      <w:r w:rsidRPr="002402C1">
        <w:rPr>
          <w:rFonts w:eastAsia="Calibri"/>
        </w:rPr>
        <w:t xml:space="preserve">a datu uzavření této </w:t>
      </w:r>
      <w:r w:rsidR="00AB1110" w:rsidRPr="002402C1">
        <w:rPr>
          <w:rFonts w:eastAsia="Calibri"/>
        </w:rPr>
        <w:t>Dohody</w:t>
      </w:r>
      <w:r w:rsidRPr="002402C1">
        <w:rPr>
          <w:rFonts w:eastAsia="Calibri"/>
        </w:rPr>
        <w:t>.</w:t>
      </w:r>
      <w:r w:rsidRPr="002402C1">
        <w:rPr>
          <w:rFonts w:eastAsia="Calibri"/>
        </w:rPr>
        <w:br/>
      </w:r>
    </w:p>
    <w:p w14:paraId="7B929B73" w14:textId="300EE417" w:rsidR="00E3223D" w:rsidRPr="002402C1" w:rsidRDefault="00E3223D" w:rsidP="00E3223D">
      <w:pPr>
        <w:pStyle w:val="Nadpis2"/>
        <w:spacing w:before="120" w:line="264" w:lineRule="auto"/>
        <w:ind w:left="567"/>
      </w:pPr>
      <w:r w:rsidRPr="002402C1">
        <w:rPr>
          <w:rStyle w:val="Nadpis2Char"/>
          <w:rFonts w:eastAsia="Calibri"/>
        </w:rPr>
        <w:t xml:space="preserve">Zaslání </w:t>
      </w:r>
      <w:r w:rsidR="00AB1110" w:rsidRPr="002402C1">
        <w:rPr>
          <w:rFonts w:eastAsia="Calibri"/>
        </w:rPr>
        <w:t>Dohody</w:t>
      </w:r>
      <w:r w:rsidRPr="002402C1">
        <w:rPr>
          <w:rFonts w:eastAsia="Calibri"/>
        </w:rPr>
        <w:t xml:space="preserve"> správci registru smluv k uveřejnění v registru smluv zajišťují obv</w:t>
      </w:r>
      <w:r w:rsidR="00AB1110" w:rsidRPr="002402C1">
        <w:rPr>
          <w:rFonts w:eastAsia="Calibri"/>
        </w:rPr>
        <w:t>ykle zadavatel. Nebude-li tato Dohoda</w:t>
      </w:r>
      <w:r w:rsidRPr="002402C1">
        <w:rPr>
          <w:rFonts w:eastAsia="Calibri"/>
        </w:rPr>
        <w:t xml:space="preserve"> zaslána k uveřejnění a/nebo uveřejněna prostřednictvím registru smluv, není žádná ze smluvních stran oprávněna požadovat po druhé smluvní straně náhradu škody ani jiné újmy, která by jí v této souvislosti vznikla nebo vzniknout mohla.</w:t>
      </w:r>
    </w:p>
    <w:p w14:paraId="5CF0A80F" w14:textId="12D11EAD" w:rsidR="00F80105" w:rsidRDefault="00F80105" w:rsidP="00F80105">
      <w:pPr>
        <w:pStyle w:val="Nadpis2"/>
        <w:spacing w:before="120" w:line="264" w:lineRule="auto"/>
        <w:ind w:left="567"/>
        <w:contextualSpacing w:val="0"/>
        <w:rPr>
          <w:rFonts w:eastAsia="Calibri"/>
        </w:rPr>
      </w:pPr>
      <w:r w:rsidRPr="002402C1">
        <w:rPr>
          <w:rFonts w:eastAsia="Calibri"/>
        </w:rPr>
        <w:t>Ustanovení této</w:t>
      </w:r>
      <w:r>
        <w:rPr>
          <w:rFonts w:eastAsia="Calibri"/>
        </w:rPr>
        <w:t xml:space="preserve"> Dohody</w:t>
      </w:r>
      <w:r w:rsidRPr="00270964">
        <w:rPr>
          <w:rFonts w:eastAsia="Calibri"/>
        </w:rPr>
        <w:t xml:space="preserve"> jsou závazná i pro právní nástupce smluvních stran.</w:t>
      </w:r>
    </w:p>
    <w:p w14:paraId="176C2D5B" w14:textId="77777777" w:rsidR="00F80105" w:rsidRPr="00270964" w:rsidRDefault="00F80105" w:rsidP="00F80105">
      <w:pPr>
        <w:pStyle w:val="Nadpis2"/>
        <w:spacing w:before="120" w:line="264" w:lineRule="auto"/>
        <w:ind w:left="567"/>
        <w:contextualSpacing w:val="0"/>
        <w:rPr>
          <w:rFonts w:eastAsia="Calibri"/>
        </w:rPr>
      </w:pPr>
      <w:r w:rsidRPr="00270964">
        <w:rPr>
          <w:rFonts w:eastAsia="Calibri"/>
        </w:rPr>
        <w:t xml:space="preserve">Závazky a povinnosti smluvních stran plynoucí z této </w:t>
      </w:r>
      <w:r>
        <w:rPr>
          <w:rFonts w:eastAsia="Calibri"/>
        </w:rPr>
        <w:t>Dohody</w:t>
      </w:r>
      <w:r w:rsidRPr="00270964">
        <w:rPr>
          <w:rFonts w:eastAsia="Calibri"/>
        </w:rPr>
        <w:t xml:space="preserve"> se vztahují i na </w:t>
      </w:r>
      <w:r>
        <w:rPr>
          <w:rFonts w:eastAsia="Calibri"/>
        </w:rPr>
        <w:t>Důvěrné</w:t>
      </w:r>
      <w:r w:rsidRPr="00270964">
        <w:rPr>
          <w:rFonts w:eastAsia="Calibri"/>
        </w:rPr>
        <w:t xml:space="preserve"> informace poskytnuté či nabyté přede dnem uzavření této </w:t>
      </w:r>
      <w:r>
        <w:rPr>
          <w:rFonts w:eastAsia="Calibri"/>
        </w:rPr>
        <w:t>Dohody</w:t>
      </w:r>
      <w:r w:rsidRPr="00270964">
        <w:rPr>
          <w:rFonts w:eastAsia="Calibri"/>
        </w:rPr>
        <w:t xml:space="preserve">. </w:t>
      </w:r>
    </w:p>
    <w:p w14:paraId="2C14B0BC" w14:textId="77777777" w:rsidR="00F80105" w:rsidRPr="00270964" w:rsidRDefault="00F80105" w:rsidP="00F80105">
      <w:pPr>
        <w:pStyle w:val="Nadpis2"/>
        <w:spacing w:before="120" w:line="264" w:lineRule="auto"/>
        <w:ind w:left="567"/>
        <w:contextualSpacing w:val="0"/>
        <w:rPr>
          <w:rFonts w:eastAsia="Calibri"/>
        </w:rPr>
      </w:pPr>
      <w:r w:rsidRPr="00270964">
        <w:rPr>
          <w:rFonts w:eastAsia="Calibri"/>
        </w:rPr>
        <w:t xml:space="preserve">Tato </w:t>
      </w:r>
      <w:r>
        <w:rPr>
          <w:rFonts w:eastAsia="Calibri"/>
        </w:rPr>
        <w:t>Dohoda</w:t>
      </w:r>
      <w:r w:rsidRPr="00270964">
        <w:rPr>
          <w:rFonts w:eastAsia="Calibri"/>
        </w:rPr>
        <w:t xml:space="preserve"> může být měněna a doplňována jen písemnými číslovanými dodatky řádně podepsanými oprávněnými zástupci obou smluvních stran.</w:t>
      </w:r>
    </w:p>
    <w:p w14:paraId="30CCEA60" w14:textId="77777777" w:rsidR="00F80105" w:rsidRPr="00270964" w:rsidRDefault="00F80105" w:rsidP="00F80105">
      <w:pPr>
        <w:pStyle w:val="Nadpis2"/>
        <w:spacing w:before="120" w:line="264" w:lineRule="auto"/>
        <w:ind w:left="567"/>
        <w:contextualSpacing w:val="0"/>
        <w:rPr>
          <w:rFonts w:eastAsia="Calibri"/>
        </w:rPr>
      </w:pPr>
      <w:r w:rsidRPr="00270964">
        <w:rPr>
          <w:rFonts w:eastAsia="Calibri"/>
        </w:rPr>
        <w:t xml:space="preserve">Záležitosti neupravené touto </w:t>
      </w:r>
      <w:r>
        <w:rPr>
          <w:rFonts w:eastAsia="Calibri"/>
        </w:rPr>
        <w:t>Dohodou</w:t>
      </w:r>
      <w:r w:rsidRPr="00270964">
        <w:rPr>
          <w:rFonts w:eastAsia="Calibri"/>
        </w:rPr>
        <w:t xml:space="preserve"> se řídí právními předpisy platnými a účinnými v České republice.</w:t>
      </w:r>
    </w:p>
    <w:p w14:paraId="404822B1" w14:textId="77777777" w:rsidR="00F80105" w:rsidRPr="00270964" w:rsidRDefault="00F80105" w:rsidP="00F80105">
      <w:pPr>
        <w:pStyle w:val="Nadpis2"/>
        <w:spacing w:before="120" w:line="264" w:lineRule="auto"/>
        <w:ind w:left="567"/>
        <w:contextualSpacing w:val="0"/>
        <w:rPr>
          <w:rFonts w:eastAsia="Calibri"/>
        </w:rPr>
      </w:pPr>
      <w:r w:rsidRPr="00270964">
        <w:rPr>
          <w:rFonts w:eastAsia="Calibri"/>
        </w:rPr>
        <w:t xml:space="preserve">Pokud by se kterékoliv ustanovení této </w:t>
      </w:r>
      <w:r>
        <w:rPr>
          <w:rFonts w:eastAsia="Calibri"/>
        </w:rPr>
        <w:t>Dohody</w:t>
      </w:r>
      <w:r w:rsidRPr="00270964">
        <w:rPr>
          <w:rFonts w:eastAsia="Calibri"/>
        </w:rPr>
        <w:t xml:space="preserve"> ukázalo být neplatným nebo nevynutitelným, nebo se jím stalo po uzavření této </w:t>
      </w:r>
      <w:r>
        <w:rPr>
          <w:rFonts w:eastAsia="Calibri"/>
        </w:rPr>
        <w:t>Dohody</w:t>
      </w:r>
      <w:r w:rsidRPr="00270964">
        <w:rPr>
          <w:rFonts w:eastAsia="Calibri"/>
        </w:rPr>
        <w:t xml:space="preserve">, pak tato skutečnost nepůsobí neplatnost ani nevynutitelnost ostatních ustanovení této </w:t>
      </w:r>
      <w:r>
        <w:rPr>
          <w:rFonts w:eastAsia="Calibri"/>
        </w:rPr>
        <w:t>Dohody</w:t>
      </w:r>
      <w:r w:rsidRPr="00270964">
        <w:rPr>
          <w:rFonts w:eastAsia="Calibri"/>
        </w:rPr>
        <w:t>, nevyplývá-li z donucujících ustanovení právních předpisů jinak. Smluvní strany se zavazují bez zbytečného odkladu po výzvě kterékoliv strany takové neplatné či nevynutitelné ustanovení nahradit platným a vynutitelným ustanovením, které je svým obsahem nejbližší účelu neplatného či nevynutitelného ustanovení.</w:t>
      </w:r>
    </w:p>
    <w:p w14:paraId="67853273" w14:textId="0A06CA6E" w:rsidR="00F80105" w:rsidRPr="00270964" w:rsidRDefault="00F80105" w:rsidP="00F80105">
      <w:pPr>
        <w:pStyle w:val="Nadpis2"/>
        <w:spacing w:before="120" w:line="264" w:lineRule="auto"/>
        <w:ind w:left="567"/>
        <w:contextualSpacing w:val="0"/>
        <w:rPr>
          <w:rFonts w:eastAsia="Calibri"/>
        </w:rPr>
      </w:pPr>
      <w:r w:rsidRPr="00270964">
        <w:rPr>
          <w:rFonts w:eastAsia="Calibri"/>
        </w:rPr>
        <w:t xml:space="preserve">Tato </w:t>
      </w:r>
      <w:r>
        <w:rPr>
          <w:rFonts w:eastAsia="Calibri"/>
        </w:rPr>
        <w:t>Dohod</w:t>
      </w:r>
      <w:r w:rsidR="00AB1110">
        <w:rPr>
          <w:rFonts w:eastAsia="Calibri"/>
        </w:rPr>
        <w:t>a je</w:t>
      </w:r>
      <w:r w:rsidRPr="00270964">
        <w:rPr>
          <w:rFonts w:eastAsia="Calibri"/>
        </w:rPr>
        <w:t xml:space="preserve"> vyhotovena </w:t>
      </w:r>
      <w:r>
        <w:rPr>
          <w:rFonts w:eastAsia="Calibri"/>
        </w:rPr>
        <w:t>elektronicky, přičemž každý její jednotlivý obraz má platnost originálu</w:t>
      </w:r>
      <w:r w:rsidRPr="00270964">
        <w:rPr>
          <w:rFonts w:eastAsia="Calibri"/>
        </w:rPr>
        <w:t>.</w:t>
      </w:r>
    </w:p>
    <w:p w14:paraId="7BED4156" w14:textId="77777777" w:rsidR="00F80105" w:rsidRPr="00270964" w:rsidRDefault="00F80105" w:rsidP="00F80105">
      <w:pPr>
        <w:pStyle w:val="Nadpis2"/>
        <w:spacing w:before="120" w:line="264" w:lineRule="auto"/>
        <w:ind w:left="567"/>
        <w:contextualSpacing w:val="0"/>
        <w:rPr>
          <w:rFonts w:eastAsia="Calibri"/>
        </w:rPr>
      </w:pPr>
      <w:r w:rsidRPr="00270964">
        <w:rPr>
          <w:rFonts w:eastAsia="Calibri"/>
        </w:rPr>
        <w:t xml:space="preserve">Zástupci smluvních stran prohlašují, že </w:t>
      </w:r>
      <w:r>
        <w:rPr>
          <w:rFonts w:eastAsia="Calibri"/>
        </w:rPr>
        <w:t>tato Dohoda</w:t>
      </w:r>
      <w:r w:rsidRPr="00270964">
        <w:rPr>
          <w:rFonts w:eastAsia="Calibri"/>
        </w:rPr>
        <w:t xml:space="preserve"> odpovídá jejich svobodné a vážné vůli a nebyla uzavřena v tísni nebo za nápadně nevýhodných podmínek, což stvrzují svými vlastnoručními podpisy.</w:t>
      </w:r>
    </w:p>
    <w:p w14:paraId="086FF807" w14:textId="77777777" w:rsidR="00270964" w:rsidRPr="00B21D42" w:rsidRDefault="00270964" w:rsidP="00270964">
      <w:pPr>
        <w:rPr>
          <w:rFonts w:ascii="Arial Narrow" w:eastAsia="Times New Roman" w:hAnsi="Arial Narrow" w:cs="Arial"/>
          <w:b/>
          <w:sz w:val="22"/>
          <w:szCs w:val="22"/>
        </w:rPr>
      </w:pPr>
    </w:p>
    <w:p w14:paraId="2DA7309D" w14:textId="32439321" w:rsidR="00016BC0" w:rsidRDefault="00016BC0" w:rsidP="00016BC0">
      <w:pPr>
        <w:spacing w:before="120"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 </w:t>
      </w:r>
      <w:r w:rsidR="00454924">
        <w:rPr>
          <w:rFonts w:asciiTheme="majorHAnsi" w:hAnsiTheme="majorHAnsi"/>
        </w:rPr>
        <w:t>zadavat</w:t>
      </w:r>
      <w:r>
        <w:rPr>
          <w:rFonts w:asciiTheme="majorHAnsi" w:hAnsiTheme="majorHAnsi"/>
        </w:rPr>
        <w:t>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751669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Za </w:t>
      </w:r>
      <w:r w:rsidR="001845EA">
        <w:rPr>
          <w:rFonts w:asciiTheme="majorHAnsi" w:hAnsiTheme="majorHAnsi"/>
        </w:rPr>
        <w:t>ž</w:t>
      </w:r>
      <w:r w:rsidR="004F01B0">
        <w:rPr>
          <w:rFonts w:asciiTheme="majorHAnsi" w:hAnsiTheme="majorHAnsi"/>
        </w:rPr>
        <w:t>adatele</w:t>
      </w:r>
      <w:r>
        <w:rPr>
          <w:rFonts w:asciiTheme="majorHAnsi" w:hAnsiTheme="majorHAnsi"/>
        </w:rPr>
        <w:t>:</w:t>
      </w:r>
    </w:p>
    <w:p w14:paraId="32385ECC" w14:textId="77777777" w:rsidR="00BA6EB2" w:rsidRDefault="00BA6EB2" w:rsidP="00016BC0">
      <w:pPr>
        <w:spacing w:before="120" w:after="0"/>
        <w:rPr>
          <w:rFonts w:asciiTheme="majorHAnsi" w:hAnsiTheme="majorHAnsi"/>
        </w:rPr>
      </w:pPr>
    </w:p>
    <w:p w14:paraId="0200CCE8" w14:textId="27595816" w:rsidR="00016BC0" w:rsidRDefault="00BA6EB2" w:rsidP="00016BC0">
      <w:pPr>
        <w:spacing w:before="120" w:after="0"/>
        <w:rPr>
          <w:rFonts w:asciiTheme="majorHAnsi" w:hAnsiTheme="majorHAnsi"/>
        </w:rPr>
      </w:pPr>
      <w:r>
        <w:rPr>
          <w:rFonts w:asciiTheme="majorHAnsi" w:hAnsiTheme="majorHAnsi"/>
        </w:rPr>
        <w:t>V Praze</w:t>
      </w:r>
      <w:r w:rsidR="005C36CD">
        <w:rPr>
          <w:rFonts w:asciiTheme="majorHAnsi" w:hAnsiTheme="majorHAnsi"/>
        </w:rPr>
        <w:tab/>
      </w:r>
      <w:r w:rsidR="005C36CD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1946C4">
        <w:rPr>
          <w:rFonts w:asciiTheme="majorHAnsi" w:hAnsiTheme="majorHAnsi"/>
        </w:rPr>
        <w:tab/>
      </w:r>
      <w:r w:rsidR="001946C4">
        <w:rPr>
          <w:rFonts w:asciiTheme="majorHAnsi" w:hAnsiTheme="majorHAnsi"/>
        </w:rPr>
        <w:tab/>
      </w:r>
      <w:r w:rsidR="001946C4">
        <w:rPr>
          <w:rFonts w:asciiTheme="majorHAnsi" w:hAnsiTheme="majorHAnsi"/>
        </w:rPr>
        <w:tab/>
      </w:r>
      <w:r>
        <w:rPr>
          <w:rFonts w:asciiTheme="majorHAnsi" w:hAnsiTheme="majorHAnsi"/>
        </w:rPr>
        <w:t>V </w:t>
      </w:r>
    </w:p>
    <w:p w14:paraId="73C199E6" w14:textId="77777777" w:rsidR="00016BC0" w:rsidRDefault="00016BC0" w:rsidP="00016BC0">
      <w:pPr>
        <w:spacing w:before="120" w:after="0"/>
        <w:rPr>
          <w:rFonts w:asciiTheme="majorHAnsi" w:hAnsiTheme="majorHAnsi"/>
        </w:rPr>
      </w:pPr>
    </w:p>
    <w:p w14:paraId="653A008B" w14:textId="77777777" w:rsidR="00016BC0" w:rsidRDefault="00016BC0" w:rsidP="00016BC0">
      <w:pPr>
        <w:spacing w:before="120" w:after="0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7D33CC4E" w14:textId="72DC17A6" w:rsidR="00016BC0" w:rsidRDefault="001946C4" w:rsidP="00016BC0">
      <w:pPr>
        <w:spacing w:before="120" w:after="0"/>
        <w:rPr>
          <w:rFonts w:asciiTheme="majorHAnsi" w:hAnsiTheme="majorHAnsi"/>
        </w:rPr>
      </w:pPr>
      <w:r w:rsidRPr="001946C4">
        <w:rPr>
          <w:rFonts w:asciiTheme="majorHAnsi" w:hAnsiTheme="majorHAnsi"/>
          <w:b/>
        </w:rPr>
        <w:t>Ing. Zuzana Skyvová</w:t>
      </w:r>
      <w:r>
        <w:rPr>
          <w:rFonts w:asciiTheme="majorHAnsi" w:hAnsiTheme="majorHAnsi"/>
        </w:rPr>
        <w:br/>
        <w:t>náměstkyně ředitele OJ</w:t>
      </w:r>
      <w:r w:rsidR="00016BC0" w:rsidRPr="009B4030">
        <w:rPr>
          <w:rFonts w:asciiTheme="majorHAnsi" w:hAnsiTheme="majorHAnsi"/>
        </w:rPr>
        <w:tab/>
      </w:r>
      <w:r w:rsidR="0016602E">
        <w:rPr>
          <w:rFonts w:asciiTheme="majorHAnsi" w:hAnsiTheme="majorHAnsi"/>
        </w:rPr>
        <w:tab/>
      </w:r>
      <w:r w:rsidR="0016602E">
        <w:rPr>
          <w:rFonts w:asciiTheme="majorHAnsi" w:hAnsiTheme="majorHAnsi"/>
        </w:rPr>
        <w:tab/>
      </w:r>
      <w:r w:rsidR="0016602E">
        <w:rPr>
          <w:rFonts w:asciiTheme="majorHAnsi" w:hAnsiTheme="majorHAnsi"/>
        </w:rPr>
        <w:tab/>
      </w:r>
      <w:r w:rsidR="00016BC0" w:rsidRPr="009B4030">
        <w:rPr>
          <w:rFonts w:asciiTheme="majorHAnsi" w:hAnsiTheme="majorHAnsi"/>
          <w:noProof/>
          <w:highlight w:val="green"/>
        </w:rPr>
        <w:t>[</w:t>
      </w:r>
      <w:r w:rsidR="00016BC0" w:rsidRPr="009B4030">
        <w:rPr>
          <w:rFonts w:asciiTheme="majorHAnsi" w:hAnsiTheme="majorHAnsi"/>
          <w:i/>
          <w:iCs/>
          <w:noProof/>
          <w:highlight w:val="green"/>
        </w:rPr>
        <w:t xml:space="preserve">DOPLNÍ </w:t>
      </w:r>
      <w:r w:rsidR="004F01B0">
        <w:rPr>
          <w:rFonts w:asciiTheme="majorHAnsi" w:hAnsiTheme="majorHAnsi"/>
          <w:i/>
          <w:iCs/>
          <w:noProof/>
          <w:highlight w:val="green"/>
        </w:rPr>
        <w:t>ŽADATEL</w:t>
      </w:r>
      <w:r w:rsidR="00016BC0" w:rsidRPr="009B4030">
        <w:rPr>
          <w:rFonts w:asciiTheme="majorHAnsi" w:hAnsiTheme="majorHAnsi"/>
          <w:noProof/>
          <w:highlight w:val="green"/>
        </w:rPr>
        <w:t>]</w:t>
      </w:r>
    </w:p>
    <w:p w14:paraId="52EF0819" w14:textId="461FFBE5" w:rsidR="00016BC0" w:rsidRDefault="001946C4" w:rsidP="00016BC0">
      <w:pPr>
        <w:overflowPunct w:val="0"/>
        <w:autoSpaceDE w:val="0"/>
        <w:autoSpaceDN w:val="0"/>
        <w:adjustRightInd w:val="0"/>
        <w:spacing w:before="120" w:after="0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Stavební správa západ</w:t>
      </w:r>
      <w:r>
        <w:rPr>
          <w:rFonts w:eastAsia="Calibri" w:cs="Times New Roman"/>
        </w:rPr>
        <w:br/>
      </w:r>
      <w:r w:rsidR="00016BC0">
        <w:rPr>
          <w:rFonts w:eastAsia="Calibri" w:cs="Times New Roman"/>
        </w:rPr>
        <w:t>Sp</w:t>
      </w:r>
      <w:r w:rsidR="00270964">
        <w:rPr>
          <w:rFonts w:eastAsia="Calibri" w:cs="Times New Roman"/>
        </w:rPr>
        <w:t>ráva železnic, státní organizace</w:t>
      </w:r>
    </w:p>
    <w:sectPr w:rsidR="00016BC0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5E54F" w14:textId="77777777" w:rsidR="00016D1F" w:rsidRDefault="00016D1F" w:rsidP="00962258">
      <w:pPr>
        <w:spacing w:after="0" w:line="240" w:lineRule="auto"/>
      </w:pPr>
      <w:r>
        <w:separator/>
      </w:r>
    </w:p>
  </w:endnote>
  <w:endnote w:type="continuationSeparator" w:id="0">
    <w:p w14:paraId="4D74BE8B" w14:textId="77777777" w:rsidR="00016D1F" w:rsidRDefault="00016D1F" w:rsidP="00962258">
      <w:pPr>
        <w:spacing w:after="0" w:line="240" w:lineRule="auto"/>
      </w:pPr>
      <w:r>
        <w:continuationSeparator/>
      </w:r>
    </w:p>
  </w:endnote>
  <w:endnote w:type="continuationNotice" w:id="1">
    <w:p w14:paraId="3B5ADEEC" w14:textId="77777777" w:rsidR="00016D1F" w:rsidRDefault="00016D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7374E" w14:textId="77777777" w:rsidR="007770EC" w:rsidRDefault="007770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3486D" w14:paraId="17C75F2C" w14:textId="77777777" w:rsidTr="008A2E6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E003A5B" w:rsidR="00B3486D" w:rsidRPr="00B8518B" w:rsidRDefault="00B3486D" w:rsidP="008A2E6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70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70E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B3486D" w:rsidRDefault="00B3486D" w:rsidP="008A2E6F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B3486D" w:rsidRDefault="00B3486D" w:rsidP="008A2E6F">
          <w:pPr>
            <w:pStyle w:val="Zpat"/>
          </w:pPr>
        </w:p>
      </w:tc>
      <w:tc>
        <w:tcPr>
          <w:tcW w:w="2921" w:type="dxa"/>
        </w:tcPr>
        <w:p w14:paraId="0366BF59" w14:textId="77777777" w:rsidR="00B3486D" w:rsidRDefault="00B3486D" w:rsidP="008A2E6F">
          <w:pPr>
            <w:pStyle w:val="Zpat"/>
          </w:pPr>
        </w:p>
      </w:tc>
    </w:tr>
  </w:tbl>
  <w:p w14:paraId="6838673E" w14:textId="77777777" w:rsidR="00B3486D" w:rsidRPr="00B8518B" w:rsidRDefault="00B3486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7953E3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EC9FA0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3486D" w14:paraId="3EEAE6A9" w14:textId="77777777" w:rsidTr="008A2E6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5A4E883" w:rsidR="00B3486D" w:rsidRPr="00B8518B" w:rsidRDefault="00B3486D" w:rsidP="008A2E6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70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70E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B3486D" w:rsidRDefault="00B3486D" w:rsidP="008A2E6F">
          <w:pPr>
            <w:pStyle w:val="Zpat"/>
          </w:pPr>
          <w:r>
            <w:t>Správa železnic, státní organizace</w:t>
          </w:r>
        </w:p>
        <w:p w14:paraId="18D9786B" w14:textId="77777777" w:rsidR="00B3486D" w:rsidRDefault="00B3486D" w:rsidP="008A2E6F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B3486D" w:rsidRDefault="00B3486D" w:rsidP="008A2E6F">
          <w:pPr>
            <w:pStyle w:val="Zpat"/>
          </w:pPr>
          <w:r>
            <w:t>Sídlo: Dlážděná 1003/7, 110 00 Praha 1</w:t>
          </w:r>
        </w:p>
        <w:p w14:paraId="528FD792" w14:textId="77777777" w:rsidR="00B3486D" w:rsidRDefault="00B3486D" w:rsidP="008A2E6F">
          <w:pPr>
            <w:pStyle w:val="Zpat"/>
          </w:pPr>
          <w:r>
            <w:t>IČ: 709 94 234 DIČ: CZ 709 94 234</w:t>
          </w:r>
        </w:p>
        <w:p w14:paraId="734DD67A" w14:textId="68750E5C" w:rsidR="00B3486D" w:rsidRDefault="00B3486D" w:rsidP="008A2E6F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B3486D" w:rsidRDefault="00B3486D" w:rsidP="008A2E6F">
          <w:pPr>
            <w:pStyle w:val="Zpat"/>
          </w:pPr>
        </w:p>
      </w:tc>
    </w:tr>
  </w:tbl>
  <w:p w14:paraId="0935A879" w14:textId="77777777" w:rsidR="00B3486D" w:rsidRPr="00B8518B" w:rsidRDefault="00B3486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5B8944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481DD4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B3486D" w:rsidRPr="00460660" w:rsidRDefault="00B3486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240F3" w14:textId="77777777" w:rsidR="00016D1F" w:rsidRDefault="00016D1F" w:rsidP="00962258">
      <w:pPr>
        <w:spacing w:after="0" w:line="240" w:lineRule="auto"/>
      </w:pPr>
      <w:r>
        <w:separator/>
      </w:r>
    </w:p>
  </w:footnote>
  <w:footnote w:type="continuationSeparator" w:id="0">
    <w:p w14:paraId="326B0221" w14:textId="77777777" w:rsidR="00016D1F" w:rsidRDefault="00016D1F" w:rsidP="00962258">
      <w:pPr>
        <w:spacing w:after="0" w:line="240" w:lineRule="auto"/>
      </w:pPr>
      <w:r>
        <w:continuationSeparator/>
      </w:r>
    </w:p>
  </w:footnote>
  <w:footnote w:type="continuationNotice" w:id="1">
    <w:p w14:paraId="29F61FAC" w14:textId="77777777" w:rsidR="00016D1F" w:rsidRDefault="00016D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FF09A" w14:textId="77777777" w:rsidR="007770EC" w:rsidRDefault="007770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47A87965" w:rsidR="00B3486D" w:rsidRDefault="00B3486D" w:rsidP="00EF0E57">
    <w:pPr>
      <w:pStyle w:val="Zhlav"/>
      <w:jc w:val="center"/>
      <w:rPr>
        <w:sz w:val="8"/>
        <w:szCs w:val="8"/>
      </w:rPr>
    </w:pPr>
    <w:bookmarkStart w:id="0" w:name="_GoBack"/>
    <w:bookmarkEnd w:id="0"/>
  </w:p>
  <w:p w14:paraId="4EAA341A" w14:textId="77777777" w:rsidR="00EF0E57" w:rsidRDefault="00EF0E57" w:rsidP="00EF0E57">
    <w:pPr>
      <w:pStyle w:val="Zhlav"/>
      <w:jc w:val="center"/>
      <w:rPr>
        <w:sz w:val="8"/>
        <w:szCs w:val="8"/>
      </w:rPr>
    </w:pPr>
  </w:p>
  <w:p w14:paraId="729DA4B5" w14:textId="77777777" w:rsidR="00EF0E57" w:rsidRDefault="00EF0E57" w:rsidP="00EF0E57">
    <w:pPr>
      <w:pStyle w:val="Zhlav"/>
      <w:jc w:val="center"/>
      <w:rPr>
        <w:sz w:val="8"/>
        <w:szCs w:val="8"/>
      </w:rPr>
    </w:pPr>
  </w:p>
  <w:p w14:paraId="24C496BC" w14:textId="77777777" w:rsidR="00EF0E57" w:rsidRPr="00D6163D" w:rsidRDefault="00EF0E57" w:rsidP="00EF0E57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3486D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B3486D" w:rsidRPr="00B8518B" w:rsidRDefault="00B3486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B3486D" w:rsidRDefault="00B348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B3486D" w:rsidRPr="00D6163D" w:rsidRDefault="00B3486D" w:rsidP="00FC6389">
          <w:pPr>
            <w:pStyle w:val="Druhdokumentu"/>
          </w:pPr>
        </w:p>
      </w:tc>
    </w:tr>
    <w:tr w:rsidR="00B3486D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B3486D" w:rsidRPr="00B8518B" w:rsidRDefault="00B348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B3486D" w:rsidRDefault="00B348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B3486D" w:rsidRPr="00D6163D" w:rsidRDefault="00B3486D" w:rsidP="00FC6389">
          <w:pPr>
            <w:pStyle w:val="Druhdokumentu"/>
          </w:pPr>
        </w:p>
      </w:tc>
    </w:tr>
  </w:tbl>
  <w:p w14:paraId="4D4AA505" w14:textId="5DD24FDB" w:rsidR="00B3486D" w:rsidRPr="00D6163D" w:rsidRDefault="00B3486D" w:rsidP="00FC6389">
    <w:pPr>
      <w:pStyle w:val="Zhlav"/>
      <w:rPr>
        <w:sz w:val="8"/>
        <w:szCs w:val="8"/>
      </w:rPr>
    </w:pPr>
  </w:p>
  <w:p w14:paraId="43A9937F" w14:textId="77777777" w:rsidR="00B3486D" w:rsidRPr="00460660" w:rsidRDefault="00B3486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6F39F8"/>
    <w:multiLevelType w:val="hybridMultilevel"/>
    <w:tmpl w:val="989885A4"/>
    <w:lvl w:ilvl="0" w:tplc="25069C8E">
      <w:numFmt w:val="bullet"/>
      <w:lvlText w:val="-"/>
      <w:lvlJc w:val="left"/>
      <w:pPr>
        <w:ind w:left="927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337EE21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7239" w:hanging="576"/>
      </w:pPr>
    </w:lvl>
    <w:lvl w:ilvl="2">
      <w:start w:val="1"/>
      <w:numFmt w:val="lowerLetter"/>
      <w:pStyle w:val="Nadpis3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6AB709B"/>
    <w:multiLevelType w:val="hybridMultilevel"/>
    <w:tmpl w:val="C074D774"/>
    <w:lvl w:ilvl="0" w:tplc="BA9EAE7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404DB"/>
    <w:multiLevelType w:val="multilevel"/>
    <w:tmpl w:val="AD1449D2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732A"/>
    <w:rsid w:val="00016BC0"/>
    <w:rsid w:val="00016D1F"/>
    <w:rsid w:val="00020E80"/>
    <w:rsid w:val="000645D6"/>
    <w:rsid w:val="000721CB"/>
    <w:rsid w:val="00072C1E"/>
    <w:rsid w:val="00073A69"/>
    <w:rsid w:val="000814B9"/>
    <w:rsid w:val="000853E9"/>
    <w:rsid w:val="00087B21"/>
    <w:rsid w:val="00090DCE"/>
    <w:rsid w:val="00094B7C"/>
    <w:rsid w:val="000A0E07"/>
    <w:rsid w:val="000A13BC"/>
    <w:rsid w:val="000A3F85"/>
    <w:rsid w:val="000A403A"/>
    <w:rsid w:val="000B324A"/>
    <w:rsid w:val="000B4AF7"/>
    <w:rsid w:val="000B7651"/>
    <w:rsid w:val="000D278B"/>
    <w:rsid w:val="000E23A7"/>
    <w:rsid w:val="00105CB1"/>
    <w:rsid w:val="0010693F"/>
    <w:rsid w:val="00107E5E"/>
    <w:rsid w:val="00114472"/>
    <w:rsid w:val="00123A84"/>
    <w:rsid w:val="0013379C"/>
    <w:rsid w:val="001550BC"/>
    <w:rsid w:val="001605B9"/>
    <w:rsid w:val="0016602E"/>
    <w:rsid w:val="00170EC5"/>
    <w:rsid w:val="001747C1"/>
    <w:rsid w:val="00174B37"/>
    <w:rsid w:val="001845EA"/>
    <w:rsid w:val="00184743"/>
    <w:rsid w:val="00193A76"/>
    <w:rsid w:val="001946C4"/>
    <w:rsid w:val="001970A7"/>
    <w:rsid w:val="001A6752"/>
    <w:rsid w:val="001B2089"/>
    <w:rsid w:val="001C0FC2"/>
    <w:rsid w:val="001C298C"/>
    <w:rsid w:val="001C3D97"/>
    <w:rsid w:val="001D31F3"/>
    <w:rsid w:val="001D3AFC"/>
    <w:rsid w:val="001D5765"/>
    <w:rsid w:val="001D68A6"/>
    <w:rsid w:val="001F0704"/>
    <w:rsid w:val="002026F0"/>
    <w:rsid w:val="002056E2"/>
    <w:rsid w:val="00207DF5"/>
    <w:rsid w:val="0021047F"/>
    <w:rsid w:val="00213E9F"/>
    <w:rsid w:val="002149C0"/>
    <w:rsid w:val="00216193"/>
    <w:rsid w:val="00230E72"/>
    <w:rsid w:val="002313EA"/>
    <w:rsid w:val="00236F43"/>
    <w:rsid w:val="002402C1"/>
    <w:rsid w:val="00247309"/>
    <w:rsid w:val="0025341D"/>
    <w:rsid w:val="002566F0"/>
    <w:rsid w:val="00270964"/>
    <w:rsid w:val="00275474"/>
    <w:rsid w:val="00280E07"/>
    <w:rsid w:val="00281098"/>
    <w:rsid w:val="0029605F"/>
    <w:rsid w:val="002B5041"/>
    <w:rsid w:val="002B61ED"/>
    <w:rsid w:val="002C31BF"/>
    <w:rsid w:val="002C3EB8"/>
    <w:rsid w:val="002C66CB"/>
    <w:rsid w:val="002C6705"/>
    <w:rsid w:val="002D08B1"/>
    <w:rsid w:val="002D4841"/>
    <w:rsid w:val="002D6523"/>
    <w:rsid w:val="002E0112"/>
    <w:rsid w:val="002E0CD7"/>
    <w:rsid w:val="002E2A8C"/>
    <w:rsid w:val="002F321B"/>
    <w:rsid w:val="003013FA"/>
    <w:rsid w:val="003071BD"/>
    <w:rsid w:val="00315ADF"/>
    <w:rsid w:val="00317D91"/>
    <w:rsid w:val="00326676"/>
    <w:rsid w:val="00327270"/>
    <w:rsid w:val="003303B4"/>
    <w:rsid w:val="00341DCF"/>
    <w:rsid w:val="00344D77"/>
    <w:rsid w:val="00356254"/>
    <w:rsid w:val="00357BC6"/>
    <w:rsid w:val="00365AD9"/>
    <w:rsid w:val="0038033B"/>
    <w:rsid w:val="0038088E"/>
    <w:rsid w:val="00382AE7"/>
    <w:rsid w:val="00390616"/>
    <w:rsid w:val="003956C6"/>
    <w:rsid w:val="00396267"/>
    <w:rsid w:val="003A099C"/>
    <w:rsid w:val="003A0DCF"/>
    <w:rsid w:val="003A4D59"/>
    <w:rsid w:val="003B0253"/>
    <w:rsid w:val="003B39EC"/>
    <w:rsid w:val="003B5DD6"/>
    <w:rsid w:val="003B5FC3"/>
    <w:rsid w:val="003D1F1E"/>
    <w:rsid w:val="003D703A"/>
    <w:rsid w:val="003D7991"/>
    <w:rsid w:val="003D7E9F"/>
    <w:rsid w:val="003E2450"/>
    <w:rsid w:val="003F20D8"/>
    <w:rsid w:val="00401303"/>
    <w:rsid w:val="0042314E"/>
    <w:rsid w:val="00431186"/>
    <w:rsid w:val="00431925"/>
    <w:rsid w:val="004350AC"/>
    <w:rsid w:val="00441430"/>
    <w:rsid w:val="004416D1"/>
    <w:rsid w:val="004429CF"/>
    <w:rsid w:val="00450F07"/>
    <w:rsid w:val="00453CD3"/>
    <w:rsid w:val="00454924"/>
    <w:rsid w:val="00460660"/>
    <w:rsid w:val="00461D32"/>
    <w:rsid w:val="0047161E"/>
    <w:rsid w:val="0047677B"/>
    <w:rsid w:val="00476D87"/>
    <w:rsid w:val="00477CFE"/>
    <w:rsid w:val="00486107"/>
    <w:rsid w:val="00491827"/>
    <w:rsid w:val="00493B1B"/>
    <w:rsid w:val="00493D73"/>
    <w:rsid w:val="00497F6E"/>
    <w:rsid w:val="004A1DA5"/>
    <w:rsid w:val="004A6222"/>
    <w:rsid w:val="004B348C"/>
    <w:rsid w:val="004B40DE"/>
    <w:rsid w:val="004C4399"/>
    <w:rsid w:val="004C728D"/>
    <w:rsid w:val="004C787C"/>
    <w:rsid w:val="004D1838"/>
    <w:rsid w:val="004D54D2"/>
    <w:rsid w:val="004E143C"/>
    <w:rsid w:val="004E1498"/>
    <w:rsid w:val="004E3A53"/>
    <w:rsid w:val="004F01B0"/>
    <w:rsid w:val="004F16C2"/>
    <w:rsid w:val="004F4B9B"/>
    <w:rsid w:val="00511AB9"/>
    <w:rsid w:val="00514D8A"/>
    <w:rsid w:val="00516296"/>
    <w:rsid w:val="005208B3"/>
    <w:rsid w:val="00522467"/>
    <w:rsid w:val="00523B8E"/>
    <w:rsid w:val="00523EA7"/>
    <w:rsid w:val="00527421"/>
    <w:rsid w:val="005307A1"/>
    <w:rsid w:val="00537B7A"/>
    <w:rsid w:val="00537B95"/>
    <w:rsid w:val="00551AD6"/>
    <w:rsid w:val="00553375"/>
    <w:rsid w:val="0056418D"/>
    <w:rsid w:val="00564CE1"/>
    <w:rsid w:val="005709A9"/>
    <w:rsid w:val="005736B7"/>
    <w:rsid w:val="005740C3"/>
    <w:rsid w:val="00575E5A"/>
    <w:rsid w:val="0058430D"/>
    <w:rsid w:val="00592757"/>
    <w:rsid w:val="00593A99"/>
    <w:rsid w:val="00597E84"/>
    <w:rsid w:val="005A5820"/>
    <w:rsid w:val="005B28A0"/>
    <w:rsid w:val="005B76DD"/>
    <w:rsid w:val="005C2B4B"/>
    <w:rsid w:val="005C36CD"/>
    <w:rsid w:val="005D5624"/>
    <w:rsid w:val="005E5BB9"/>
    <w:rsid w:val="005F1404"/>
    <w:rsid w:val="005F18E3"/>
    <w:rsid w:val="005F5169"/>
    <w:rsid w:val="005F7717"/>
    <w:rsid w:val="0060520C"/>
    <w:rsid w:val="00606809"/>
    <w:rsid w:val="0061068E"/>
    <w:rsid w:val="00613238"/>
    <w:rsid w:val="00616546"/>
    <w:rsid w:val="006310F5"/>
    <w:rsid w:val="00635683"/>
    <w:rsid w:val="006566F7"/>
    <w:rsid w:val="00657811"/>
    <w:rsid w:val="00660AD3"/>
    <w:rsid w:val="00677B7F"/>
    <w:rsid w:val="006869AE"/>
    <w:rsid w:val="006A5570"/>
    <w:rsid w:val="006A689C"/>
    <w:rsid w:val="006B3D79"/>
    <w:rsid w:val="006B747E"/>
    <w:rsid w:val="006C5425"/>
    <w:rsid w:val="006C7697"/>
    <w:rsid w:val="006D7AFE"/>
    <w:rsid w:val="006E0578"/>
    <w:rsid w:val="006E314D"/>
    <w:rsid w:val="006E6E61"/>
    <w:rsid w:val="006F67FF"/>
    <w:rsid w:val="007014E1"/>
    <w:rsid w:val="0070370A"/>
    <w:rsid w:val="00705FC2"/>
    <w:rsid w:val="007061F8"/>
    <w:rsid w:val="00710723"/>
    <w:rsid w:val="00723ED1"/>
    <w:rsid w:val="00726BD5"/>
    <w:rsid w:val="007276C7"/>
    <w:rsid w:val="00735C64"/>
    <w:rsid w:val="00743525"/>
    <w:rsid w:val="00747EB6"/>
    <w:rsid w:val="007509D3"/>
    <w:rsid w:val="007510DD"/>
    <w:rsid w:val="00751669"/>
    <w:rsid w:val="00753EBA"/>
    <w:rsid w:val="00754E6B"/>
    <w:rsid w:val="0075551F"/>
    <w:rsid w:val="00756BBA"/>
    <w:rsid w:val="0076286B"/>
    <w:rsid w:val="00765A52"/>
    <w:rsid w:val="00766846"/>
    <w:rsid w:val="007756D6"/>
    <w:rsid w:val="0077673A"/>
    <w:rsid w:val="007770EC"/>
    <w:rsid w:val="00781975"/>
    <w:rsid w:val="00782842"/>
    <w:rsid w:val="007846E1"/>
    <w:rsid w:val="00793BB9"/>
    <w:rsid w:val="0079702F"/>
    <w:rsid w:val="007A0C04"/>
    <w:rsid w:val="007B570C"/>
    <w:rsid w:val="007C01CD"/>
    <w:rsid w:val="007C589B"/>
    <w:rsid w:val="007D44B9"/>
    <w:rsid w:val="007D6BC6"/>
    <w:rsid w:val="007E075C"/>
    <w:rsid w:val="007E495E"/>
    <w:rsid w:val="007E4A6E"/>
    <w:rsid w:val="007E5256"/>
    <w:rsid w:val="007F56A7"/>
    <w:rsid w:val="007F6695"/>
    <w:rsid w:val="008026EB"/>
    <w:rsid w:val="00807DD0"/>
    <w:rsid w:val="00810E9B"/>
    <w:rsid w:val="00814F80"/>
    <w:rsid w:val="00816B59"/>
    <w:rsid w:val="00833D43"/>
    <w:rsid w:val="00841D93"/>
    <w:rsid w:val="00845DC2"/>
    <w:rsid w:val="00845FA0"/>
    <w:rsid w:val="00846DF9"/>
    <w:rsid w:val="0084768D"/>
    <w:rsid w:val="00856D89"/>
    <w:rsid w:val="0086114C"/>
    <w:rsid w:val="00861A12"/>
    <w:rsid w:val="008659F3"/>
    <w:rsid w:val="00886D4B"/>
    <w:rsid w:val="00893A74"/>
    <w:rsid w:val="00895406"/>
    <w:rsid w:val="008A2E6F"/>
    <w:rsid w:val="008A3568"/>
    <w:rsid w:val="008A433E"/>
    <w:rsid w:val="008B6021"/>
    <w:rsid w:val="008C1C58"/>
    <w:rsid w:val="008D03B9"/>
    <w:rsid w:val="008E1E86"/>
    <w:rsid w:val="008F18D6"/>
    <w:rsid w:val="008F7DFE"/>
    <w:rsid w:val="00904780"/>
    <w:rsid w:val="00907B5D"/>
    <w:rsid w:val="00922385"/>
    <w:rsid w:val="009223DF"/>
    <w:rsid w:val="00936091"/>
    <w:rsid w:val="00940D8A"/>
    <w:rsid w:val="0094188C"/>
    <w:rsid w:val="00946734"/>
    <w:rsid w:val="00950C1F"/>
    <w:rsid w:val="00953141"/>
    <w:rsid w:val="00962258"/>
    <w:rsid w:val="00962E58"/>
    <w:rsid w:val="009678B7"/>
    <w:rsid w:val="00967A53"/>
    <w:rsid w:val="00970088"/>
    <w:rsid w:val="00981113"/>
    <w:rsid w:val="00982B1D"/>
    <w:rsid w:val="00982BC9"/>
    <w:rsid w:val="009833E1"/>
    <w:rsid w:val="00985EC7"/>
    <w:rsid w:val="00992D9C"/>
    <w:rsid w:val="00996CB8"/>
    <w:rsid w:val="009A0078"/>
    <w:rsid w:val="009B14A9"/>
    <w:rsid w:val="009B2189"/>
    <w:rsid w:val="009B2E97"/>
    <w:rsid w:val="009B4030"/>
    <w:rsid w:val="009C30C5"/>
    <w:rsid w:val="009D1230"/>
    <w:rsid w:val="009D1706"/>
    <w:rsid w:val="009E07F4"/>
    <w:rsid w:val="009E0F69"/>
    <w:rsid w:val="009F392E"/>
    <w:rsid w:val="00A021CC"/>
    <w:rsid w:val="00A02EE7"/>
    <w:rsid w:val="00A05ADB"/>
    <w:rsid w:val="00A13133"/>
    <w:rsid w:val="00A13705"/>
    <w:rsid w:val="00A157FE"/>
    <w:rsid w:val="00A2611C"/>
    <w:rsid w:val="00A363AA"/>
    <w:rsid w:val="00A45FC6"/>
    <w:rsid w:val="00A605AE"/>
    <w:rsid w:val="00A6177B"/>
    <w:rsid w:val="00A66136"/>
    <w:rsid w:val="00A7091F"/>
    <w:rsid w:val="00A71B97"/>
    <w:rsid w:val="00A76699"/>
    <w:rsid w:val="00A83A88"/>
    <w:rsid w:val="00A85F91"/>
    <w:rsid w:val="00AA4CBB"/>
    <w:rsid w:val="00AA65FA"/>
    <w:rsid w:val="00AA7351"/>
    <w:rsid w:val="00AB006A"/>
    <w:rsid w:val="00AB1110"/>
    <w:rsid w:val="00AB5DC9"/>
    <w:rsid w:val="00AB6759"/>
    <w:rsid w:val="00AC3A6F"/>
    <w:rsid w:val="00AD056F"/>
    <w:rsid w:val="00AD6731"/>
    <w:rsid w:val="00AD7371"/>
    <w:rsid w:val="00AE226A"/>
    <w:rsid w:val="00AF0AAA"/>
    <w:rsid w:val="00AF11FA"/>
    <w:rsid w:val="00B06646"/>
    <w:rsid w:val="00B1459B"/>
    <w:rsid w:val="00B15D0D"/>
    <w:rsid w:val="00B17679"/>
    <w:rsid w:val="00B26CE0"/>
    <w:rsid w:val="00B27209"/>
    <w:rsid w:val="00B32B63"/>
    <w:rsid w:val="00B3452A"/>
    <w:rsid w:val="00B3486D"/>
    <w:rsid w:val="00B35D7F"/>
    <w:rsid w:val="00B365D2"/>
    <w:rsid w:val="00B545C1"/>
    <w:rsid w:val="00B71126"/>
    <w:rsid w:val="00B748DD"/>
    <w:rsid w:val="00B75EE1"/>
    <w:rsid w:val="00B77481"/>
    <w:rsid w:val="00B8518B"/>
    <w:rsid w:val="00B87C49"/>
    <w:rsid w:val="00B907D2"/>
    <w:rsid w:val="00B95694"/>
    <w:rsid w:val="00BA6320"/>
    <w:rsid w:val="00BA6EB2"/>
    <w:rsid w:val="00BB184D"/>
    <w:rsid w:val="00BC4DC9"/>
    <w:rsid w:val="00BC6B43"/>
    <w:rsid w:val="00BD7E91"/>
    <w:rsid w:val="00BE5F8D"/>
    <w:rsid w:val="00BF0272"/>
    <w:rsid w:val="00C02D0A"/>
    <w:rsid w:val="00C03A6E"/>
    <w:rsid w:val="00C07C8E"/>
    <w:rsid w:val="00C161A2"/>
    <w:rsid w:val="00C22949"/>
    <w:rsid w:val="00C31924"/>
    <w:rsid w:val="00C35AE5"/>
    <w:rsid w:val="00C42A1F"/>
    <w:rsid w:val="00C43B09"/>
    <w:rsid w:val="00C44F6A"/>
    <w:rsid w:val="00C47AE3"/>
    <w:rsid w:val="00C54B70"/>
    <w:rsid w:val="00C54C91"/>
    <w:rsid w:val="00C55514"/>
    <w:rsid w:val="00C56277"/>
    <w:rsid w:val="00C606F7"/>
    <w:rsid w:val="00C70C50"/>
    <w:rsid w:val="00C70EC1"/>
    <w:rsid w:val="00C724F5"/>
    <w:rsid w:val="00C72EC7"/>
    <w:rsid w:val="00C75562"/>
    <w:rsid w:val="00C91A09"/>
    <w:rsid w:val="00CA174B"/>
    <w:rsid w:val="00CB0A2B"/>
    <w:rsid w:val="00CB53B1"/>
    <w:rsid w:val="00CC03A2"/>
    <w:rsid w:val="00CC6991"/>
    <w:rsid w:val="00CD1FC4"/>
    <w:rsid w:val="00CE1EDC"/>
    <w:rsid w:val="00CE5579"/>
    <w:rsid w:val="00D21061"/>
    <w:rsid w:val="00D33DEC"/>
    <w:rsid w:val="00D35A69"/>
    <w:rsid w:val="00D4108E"/>
    <w:rsid w:val="00D6163D"/>
    <w:rsid w:val="00D63448"/>
    <w:rsid w:val="00D64CAB"/>
    <w:rsid w:val="00D657AD"/>
    <w:rsid w:val="00D71FC4"/>
    <w:rsid w:val="00D76037"/>
    <w:rsid w:val="00D831A3"/>
    <w:rsid w:val="00D85C5B"/>
    <w:rsid w:val="00D9782E"/>
    <w:rsid w:val="00DB210B"/>
    <w:rsid w:val="00DB3C33"/>
    <w:rsid w:val="00DC60C3"/>
    <w:rsid w:val="00DC75F3"/>
    <w:rsid w:val="00DD18A5"/>
    <w:rsid w:val="00DD46F3"/>
    <w:rsid w:val="00DE0A3A"/>
    <w:rsid w:val="00DE56F2"/>
    <w:rsid w:val="00DF116D"/>
    <w:rsid w:val="00DF3037"/>
    <w:rsid w:val="00DF35A8"/>
    <w:rsid w:val="00DF6542"/>
    <w:rsid w:val="00E017C5"/>
    <w:rsid w:val="00E17DA2"/>
    <w:rsid w:val="00E22212"/>
    <w:rsid w:val="00E2530D"/>
    <w:rsid w:val="00E3223D"/>
    <w:rsid w:val="00E45F99"/>
    <w:rsid w:val="00E506F1"/>
    <w:rsid w:val="00E5401E"/>
    <w:rsid w:val="00E55F3F"/>
    <w:rsid w:val="00E606CB"/>
    <w:rsid w:val="00E6406C"/>
    <w:rsid w:val="00E70966"/>
    <w:rsid w:val="00E94AFC"/>
    <w:rsid w:val="00EA7779"/>
    <w:rsid w:val="00EB104F"/>
    <w:rsid w:val="00EC0F0F"/>
    <w:rsid w:val="00EC0FD5"/>
    <w:rsid w:val="00EC668A"/>
    <w:rsid w:val="00ED14BD"/>
    <w:rsid w:val="00EE4895"/>
    <w:rsid w:val="00EF0E57"/>
    <w:rsid w:val="00EF1804"/>
    <w:rsid w:val="00EF1E2D"/>
    <w:rsid w:val="00EF4317"/>
    <w:rsid w:val="00F0346F"/>
    <w:rsid w:val="00F0533E"/>
    <w:rsid w:val="00F1048D"/>
    <w:rsid w:val="00F12C80"/>
    <w:rsid w:val="00F12DEC"/>
    <w:rsid w:val="00F1715C"/>
    <w:rsid w:val="00F31091"/>
    <w:rsid w:val="00F310F8"/>
    <w:rsid w:val="00F35939"/>
    <w:rsid w:val="00F43B44"/>
    <w:rsid w:val="00F45607"/>
    <w:rsid w:val="00F467D1"/>
    <w:rsid w:val="00F56978"/>
    <w:rsid w:val="00F60F94"/>
    <w:rsid w:val="00F659EB"/>
    <w:rsid w:val="00F66493"/>
    <w:rsid w:val="00F80105"/>
    <w:rsid w:val="00F867BB"/>
    <w:rsid w:val="00F86BA6"/>
    <w:rsid w:val="00F969C4"/>
    <w:rsid w:val="00FA32F8"/>
    <w:rsid w:val="00FC0D34"/>
    <w:rsid w:val="00FC41EC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4594ED81-93E1-4376-ABD1-733F6E57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ind w:left="860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5FC2"/>
    <w:pPr>
      <w:numPr>
        <w:ilvl w:val="2"/>
        <w:numId w:val="5"/>
      </w:num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05FC2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AKFZFnormln">
    <w:name w:val="AKFZF_normální"/>
    <w:link w:val="AKFZFnormlnChar"/>
    <w:qFormat/>
    <w:rsid w:val="00247309"/>
    <w:pPr>
      <w:spacing w:after="100" w:line="288" w:lineRule="auto"/>
      <w:jc w:val="both"/>
    </w:pPr>
    <w:rPr>
      <w:rFonts w:ascii="Arial" w:eastAsia="Calibri" w:hAnsi="Arial" w:cs="Calibri"/>
      <w:sz w:val="22"/>
      <w:szCs w:val="22"/>
    </w:rPr>
  </w:style>
  <w:style w:type="character" w:customStyle="1" w:styleId="AKFZFnormlnChar">
    <w:name w:val="AKFZF_normální Char"/>
    <w:basedOn w:val="Standardnpsmoodstavce"/>
    <w:link w:val="AKFZFnormln"/>
    <w:rsid w:val="00247309"/>
    <w:rPr>
      <w:rFonts w:ascii="Arial" w:eastAsia="Calibri" w:hAnsi="Arial" w:cs="Calibri"/>
      <w:sz w:val="22"/>
      <w:szCs w:val="22"/>
    </w:rPr>
  </w:style>
  <w:style w:type="paragraph" w:customStyle="1" w:styleId="AKFZFPreambule">
    <w:name w:val="AKFZF_Preambule"/>
    <w:qFormat/>
    <w:rsid w:val="00247309"/>
    <w:pPr>
      <w:numPr>
        <w:numId w:val="8"/>
      </w:numPr>
      <w:spacing w:after="100" w:line="288" w:lineRule="auto"/>
      <w:jc w:val="both"/>
    </w:pPr>
    <w:rPr>
      <w:rFonts w:ascii="Arial" w:eastAsia="Calibri" w:hAnsi="Arial" w:cs="Calibri"/>
      <w:sz w:val="22"/>
      <w:szCs w:val="22"/>
    </w:rPr>
  </w:style>
  <w:style w:type="paragraph" w:customStyle="1" w:styleId="lneksmlouvy">
    <w:name w:val="článek_smlouvy"/>
    <w:basedOn w:val="Normln"/>
    <w:qFormat/>
    <w:rsid w:val="002026F0"/>
    <w:pPr>
      <w:numPr>
        <w:ilvl w:val="1"/>
        <w:numId w:val="10"/>
      </w:numPr>
      <w:spacing w:after="100" w:line="288" w:lineRule="auto"/>
      <w:jc w:val="both"/>
    </w:pPr>
    <w:rPr>
      <w:rFonts w:ascii="Arial" w:eastAsia="Calibri" w:hAnsi="Arial" w:cs="Calibri"/>
      <w:sz w:val="22"/>
      <w:szCs w:val="22"/>
    </w:rPr>
  </w:style>
  <w:style w:type="paragraph" w:customStyle="1" w:styleId="lneksmlouvynadpis">
    <w:name w:val="Článek_smlouvy_nadpis"/>
    <w:basedOn w:val="Normln"/>
    <w:qFormat/>
    <w:rsid w:val="002026F0"/>
    <w:pPr>
      <w:numPr>
        <w:numId w:val="10"/>
      </w:numPr>
      <w:spacing w:before="240" w:after="100" w:line="288" w:lineRule="auto"/>
      <w:jc w:val="both"/>
      <w:outlineLvl w:val="0"/>
    </w:pPr>
    <w:rPr>
      <w:rFonts w:ascii="Arial" w:eastAsia="Calibri" w:hAnsi="Arial" w:cs="Calibri"/>
      <w:b/>
      <w:cap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0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B9BCF8-E1B7-45E7-9432-B89558B0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1366</Words>
  <Characters>8061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Ranšová Ivana, Ing.</cp:lastModifiedBy>
  <cp:revision>8</cp:revision>
  <cp:lastPrinted>2017-11-28T17:18:00Z</cp:lastPrinted>
  <dcterms:created xsi:type="dcterms:W3CDTF">2021-10-13T14:11:00Z</dcterms:created>
  <dcterms:modified xsi:type="dcterms:W3CDTF">2021-11-04T13:07:00Z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